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0A9" w:rsidRDefault="004E20A7">
      <w:pPr>
        <w:pStyle w:val="CRCoverPage"/>
        <w:tabs>
          <w:tab w:val="right" w:pos="9639"/>
        </w:tabs>
        <w:spacing w:after="0" w:line="300" w:lineRule="auto"/>
        <w:rPr>
          <w:b/>
          <w:sz w:val="24"/>
        </w:rPr>
      </w:pPr>
      <w:r>
        <w:rPr>
          <w:b/>
          <w:sz w:val="24"/>
        </w:rPr>
        <w:t>3GPP TSG-RAN WG2 Meeting #131</w:t>
      </w:r>
      <w:r>
        <w:rPr>
          <w:rFonts w:hint="eastAsia"/>
          <w:b/>
          <w:sz w:val="24"/>
        </w:rPr>
        <w:t>bis</w:t>
      </w:r>
      <w:r>
        <w:rPr>
          <w:b/>
          <w:sz w:val="24"/>
        </w:rPr>
        <w:tab/>
        <w:t>R2-</w:t>
      </w:r>
      <w:r w:rsidR="00B2165B">
        <w:rPr>
          <w:b/>
          <w:sz w:val="24"/>
        </w:rPr>
        <w:t>2507064</w:t>
      </w:r>
    </w:p>
    <w:p w:rsidR="00A550A9" w:rsidRPr="00AF480F" w:rsidRDefault="004E20A7">
      <w:pPr>
        <w:pStyle w:val="3GPPHeader"/>
        <w:spacing w:line="300" w:lineRule="auto"/>
        <w:rPr>
          <w:rFonts w:eastAsia="MS Mincho" w:cs="Arial"/>
          <w:szCs w:val="24"/>
          <w:lang w:val="de-DE" w:eastAsia="en-US"/>
        </w:rPr>
      </w:pPr>
      <w:r>
        <w:rPr>
          <w:rFonts w:ascii="Arial" w:eastAsia="MS Mincho" w:hAnsi="Arial" w:cs="Arial"/>
          <w:lang w:eastAsia="en-US"/>
        </w:rPr>
        <w:t>Prague, Czech Republic, 13th ~17th Oct, 2025</w:t>
      </w:r>
    </w:p>
    <w:p w:rsidR="00AF480F" w:rsidRDefault="00AF480F" w:rsidP="00AF480F">
      <w:pPr>
        <w:widowControl/>
        <w:tabs>
          <w:tab w:val="left" w:pos="1843"/>
        </w:tabs>
        <w:rPr>
          <w:rFonts w:ascii="Arial" w:eastAsia="Times New Roman" w:hAnsi="Arial" w:cs="Arial"/>
          <w:b/>
          <w:sz w:val="24"/>
          <w:szCs w:val="20"/>
          <w:lang w:eastAsia="en-US"/>
        </w:rPr>
      </w:pPr>
    </w:p>
    <w:p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Agenda Item:</w:t>
      </w:r>
      <w:r w:rsidRPr="00AF480F">
        <w:rPr>
          <w:rFonts w:ascii="Arial" w:eastAsia="Times New Roman" w:hAnsi="Arial" w:cs="Arial"/>
          <w:b/>
          <w:sz w:val="24"/>
          <w:szCs w:val="20"/>
          <w:lang w:eastAsia="en-US"/>
        </w:rPr>
        <w:tab/>
      </w:r>
      <w:bookmarkStart w:id="0" w:name="Source"/>
      <w:bookmarkEnd w:id="0"/>
      <w:r w:rsidRPr="00AF480F">
        <w:rPr>
          <w:rFonts w:ascii="Arial" w:eastAsia="Times New Roman" w:hAnsi="Arial" w:cs="Arial"/>
          <w:b/>
          <w:sz w:val="24"/>
          <w:szCs w:val="20"/>
          <w:lang w:eastAsia="en-US"/>
        </w:rPr>
        <w:t>8.17</w:t>
      </w:r>
    </w:p>
    <w:p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Source: </w:t>
      </w:r>
      <w:r w:rsidRPr="00AF480F">
        <w:rPr>
          <w:rFonts w:ascii="Arial" w:eastAsia="Times New Roman" w:hAnsi="Arial" w:cs="Arial"/>
          <w:b/>
          <w:sz w:val="24"/>
          <w:szCs w:val="20"/>
          <w:lang w:eastAsia="en-US"/>
        </w:rPr>
        <w:tab/>
        <w:t>Huawei, HiSilicon</w:t>
      </w:r>
    </w:p>
    <w:p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 xml:space="preserve">Title: </w:t>
      </w:r>
      <w:r w:rsidRPr="00AF480F">
        <w:rPr>
          <w:rFonts w:ascii="Arial" w:eastAsia="Times New Roman" w:hAnsi="Arial" w:cs="Arial"/>
          <w:b/>
          <w:sz w:val="24"/>
          <w:szCs w:val="20"/>
          <w:lang w:eastAsia="en-US"/>
        </w:rPr>
        <w:tab/>
      </w:r>
      <w:r w:rsidR="00B2165B" w:rsidRPr="00B2165B">
        <w:rPr>
          <w:rFonts w:ascii="Arial" w:eastAsia="Times New Roman" w:hAnsi="Arial" w:cs="Arial"/>
          <w:b/>
          <w:sz w:val="24"/>
          <w:szCs w:val="20"/>
          <w:lang w:eastAsia="en-US"/>
        </w:rPr>
        <w:t>Neighbour</w:t>
      </w:r>
      <w:bookmarkStart w:id="1" w:name="_GoBack"/>
      <w:bookmarkEnd w:id="1"/>
      <w:r w:rsidR="00B2165B" w:rsidRPr="00B2165B">
        <w:rPr>
          <w:rFonts w:ascii="Arial" w:eastAsia="Times New Roman" w:hAnsi="Arial" w:cs="Arial"/>
          <w:b/>
          <w:sz w:val="24"/>
          <w:szCs w:val="20"/>
          <w:lang w:eastAsia="en-US"/>
        </w:rPr>
        <w:t xml:space="preserve"> cell measurement in IoT NTN TDD</w:t>
      </w:r>
    </w:p>
    <w:p w:rsidR="00AF480F" w:rsidRPr="00AF480F" w:rsidRDefault="00AF480F" w:rsidP="00AF480F">
      <w:pPr>
        <w:widowControl/>
        <w:tabs>
          <w:tab w:val="left" w:pos="1843"/>
        </w:tabs>
        <w:spacing w:after="120"/>
        <w:rPr>
          <w:rFonts w:ascii="Arial" w:eastAsia="Times New Roman" w:hAnsi="Arial" w:cs="Arial"/>
          <w:b/>
          <w:sz w:val="24"/>
          <w:szCs w:val="20"/>
          <w:lang w:eastAsia="en-US"/>
        </w:rPr>
      </w:pPr>
      <w:r w:rsidRPr="00AF480F">
        <w:rPr>
          <w:rFonts w:ascii="Arial" w:eastAsia="Times New Roman" w:hAnsi="Arial" w:cs="Arial"/>
          <w:b/>
          <w:sz w:val="24"/>
          <w:szCs w:val="20"/>
          <w:lang w:eastAsia="en-US"/>
        </w:rPr>
        <w:t>Document for:</w:t>
      </w:r>
      <w:r w:rsidRPr="00AF480F">
        <w:rPr>
          <w:rFonts w:ascii="Arial" w:eastAsia="Times New Roman" w:hAnsi="Arial" w:cs="Arial"/>
          <w:b/>
          <w:sz w:val="24"/>
          <w:szCs w:val="20"/>
          <w:lang w:eastAsia="en-US"/>
        </w:rPr>
        <w:tab/>
      </w:r>
      <w:bookmarkStart w:id="2" w:name="DocumentFor"/>
      <w:bookmarkEnd w:id="2"/>
      <w:r w:rsidRPr="00AF480F">
        <w:rPr>
          <w:rFonts w:ascii="Arial" w:eastAsia="Times New Roman" w:hAnsi="Arial" w:cs="Arial"/>
          <w:b/>
          <w:sz w:val="24"/>
          <w:szCs w:val="20"/>
          <w:lang w:eastAsia="en-US"/>
        </w:rPr>
        <w:t>Discussion and Decision</w:t>
      </w:r>
    </w:p>
    <w:p w:rsidR="00A550A9" w:rsidRDefault="004E20A7">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rsidR="0053583B" w:rsidRPr="0053583B" w:rsidRDefault="0053583B" w:rsidP="0053583B">
      <w:pPr>
        <w:widowControl/>
        <w:spacing w:after="120"/>
        <w:rPr>
          <w:rFonts w:cs="Calibri Light"/>
          <w:sz w:val="20"/>
          <w:szCs w:val="20"/>
          <w:lang w:val="en-GB"/>
        </w:rPr>
      </w:pPr>
      <w:bookmarkStart w:id="3" w:name="_Toc147158671"/>
      <w:bookmarkStart w:id="4" w:name="_Toc61387172"/>
      <w:bookmarkStart w:id="5" w:name="_Toc499559238"/>
      <w:r w:rsidRPr="0053583B">
        <w:rPr>
          <w:rFonts w:cs="Calibri Light"/>
          <w:bCs/>
          <w:iCs/>
          <w:sz w:val="20"/>
          <w:szCs w:val="20"/>
          <w:lang w:val="en-GB"/>
        </w:rPr>
        <w:t xml:space="preserve">In RAN#105, </w:t>
      </w:r>
      <w:r w:rsidRPr="0053583B">
        <w:rPr>
          <w:rFonts w:eastAsia="Calibri Light" w:cs="Calibri Light"/>
          <w:sz w:val="20"/>
          <w:szCs w:val="20"/>
          <w:lang w:val="en-GB"/>
        </w:rPr>
        <w:t>a new work item</w:t>
      </w:r>
      <w:r w:rsidRPr="0053583B">
        <w:rPr>
          <w:rFonts w:cs="Calibri Light"/>
          <w:bCs/>
          <w:iCs/>
          <w:sz w:val="20"/>
          <w:szCs w:val="20"/>
          <w:lang w:val="en-GB"/>
        </w:rPr>
        <w:t xml:space="preserve"> </w:t>
      </w:r>
      <w:r w:rsidRPr="0053583B">
        <w:rPr>
          <w:rFonts w:eastAsia="Calibri Light" w:cs="Calibri Light" w:hint="eastAsia"/>
          <w:sz w:val="20"/>
          <w:szCs w:val="20"/>
          <w:lang w:val="en-GB"/>
        </w:rPr>
        <w:t>was approved</w:t>
      </w:r>
      <w:r w:rsidRPr="0053583B">
        <w:rPr>
          <w:rFonts w:cs="Calibri Light" w:hint="eastAsia"/>
          <w:bCs/>
          <w:iCs/>
          <w:sz w:val="20"/>
          <w:szCs w:val="20"/>
          <w:lang w:val="en-GB"/>
        </w:rPr>
        <w:t xml:space="preserve"> to</w:t>
      </w:r>
      <w:r w:rsidRPr="0053583B">
        <w:rPr>
          <w:rFonts w:cs="Calibri Light"/>
          <w:bCs/>
          <w:iCs/>
          <w:sz w:val="20"/>
          <w:szCs w:val="20"/>
          <w:lang w:val="en-GB"/>
        </w:rPr>
        <w:t xml:space="preserve"> introduce NB-IoT TDD mode </w:t>
      </w:r>
      <w:r w:rsidRPr="0053583B">
        <w:rPr>
          <w:rFonts w:eastAsia="Calibri Light" w:cs="Calibri Light"/>
          <w:sz w:val="20"/>
          <w:szCs w:val="20"/>
          <w:lang w:val="en-GB" w:eastAsia="en-US"/>
        </w:rPr>
        <w:t>exclusively</w:t>
      </w:r>
      <w:r w:rsidRPr="0053583B" w:rsidDel="0049384D">
        <w:rPr>
          <w:rFonts w:cs="Calibri Light"/>
          <w:bCs/>
          <w:iCs/>
          <w:sz w:val="20"/>
          <w:szCs w:val="20"/>
          <w:lang w:val="en-GB"/>
        </w:rPr>
        <w:t xml:space="preserve"> </w:t>
      </w:r>
      <w:r w:rsidRPr="0053583B">
        <w:rPr>
          <w:rFonts w:cs="Calibri Light"/>
          <w:bCs/>
          <w:iCs/>
          <w:sz w:val="20"/>
          <w:szCs w:val="20"/>
          <w:lang w:val="en-GB"/>
        </w:rPr>
        <w:t>for 1616-1626.5 MHz Mobile Satellite Services MSS band [1].</w:t>
      </w:r>
      <w:r w:rsidRPr="0053583B">
        <w:rPr>
          <w:rFonts w:cs="Calibri Light"/>
          <w:sz w:val="20"/>
          <w:szCs w:val="20"/>
          <w:lang w:val="en-GB"/>
        </w:rPr>
        <w:t xml:space="preserve"> During the </w:t>
      </w:r>
      <w:r w:rsidRPr="0053583B">
        <w:rPr>
          <w:rFonts w:eastAsia="Calibri Light" w:cs="Calibri Light"/>
          <w:sz w:val="20"/>
          <w:szCs w:val="20"/>
          <w:lang w:val="en-GB" w:eastAsia="en-GB"/>
        </w:rPr>
        <w:t>RAN1#119 meeting</w:t>
      </w:r>
      <w:r w:rsidRPr="0053583B">
        <w:rPr>
          <w:rFonts w:eastAsia="Calibri Light" w:cs="Calibri Light" w:hint="eastAsia"/>
          <w:sz w:val="20"/>
          <w:szCs w:val="20"/>
          <w:lang w:val="en-GB"/>
        </w:rPr>
        <w:t>,</w:t>
      </w:r>
      <w:r w:rsidRPr="0053583B">
        <w:rPr>
          <w:rFonts w:eastAsia="Calibri Light" w:cs="Calibri Light"/>
          <w:sz w:val="20"/>
          <w:szCs w:val="20"/>
          <w:lang w:val="en-GB"/>
        </w:rPr>
        <w:t xml:space="preserve"> some agreements were made for the TDD pattern and the corresponding </w:t>
      </w:r>
      <w:r w:rsidRPr="0053583B">
        <w:rPr>
          <w:rFonts w:eastAsia="Calibri Light" w:cs="Calibri Light"/>
          <w:sz w:val="20"/>
          <w:szCs w:val="20"/>
          <w:lang w:eastAsia="en-US"/>
        </w:rPr>
        <w:t>frame structure</w:t>
      </w:r>
      <w:r w:rsidRPr="0053583B">
        <w:rPr>
          <w:rFonts w:eastAsia="Calibri Light" w:cs="Calibri Light"/>
          <w:sz w:val="20"/>
          <w:szCs w:val="20"/>
          <w:lang w:val="en-GB"/>
        </w:rPr>
        <w:t xml:space="preserve"> [2], as listed below. </w:t>
      </w:r>
    </w:p>
    <w:tbl>
      <w:tblPr>
        <w:tblStyle w:val="xTableaupagedegarde2"/>
        <w:tblW w:w="0" w:type="auto"/>
        <w:tblLook w:val="04A0" w:firstRow="1" w:lastRow="0" w:firstColumn="1" w:lastColumn="0" w:noHBand="0" w:noVBand="1"/>
      </w:tblPr>
      <w:tblGrid>
        <w:gridCol w:w="9307"/>
      </w:tblGrid>
      <w:tr w:rsidR="0053583B" w:rsidRPr="0053583B" w:rsidTr="00E563C3">
        <w:tc>
          <w:tcPr>
            <w:tcW w:w="9307" w:type="dxa"/>
          </w:tcPr>
          <w:p w:rsidR="0053583B" w:rsidRPr="0053583B" w:rsidRDefault="0053583B" w:rsidP="0053583B">
            <w:pPr>
              <w:widowControl/>
              <w:spacing w:after="120"/>
              <w:rPr>
                <w:rFonts w:ascii="Times New Roman" w:eastAsia="Calibri Light" w:hAnsi="Times New Roman"/>
                <w:sz w:val="20"/>
                <w:szCs w:val="20"/>
              </w:rPr>
            </w:pPr>
            <w:r w:rsidRPr="0053583B">
              <w:rPr>
                <w:rFonts w:ascii="Times New Roman" w:eastAsia="Calibri Light" w:hAnsi="Times New Roman"/>
                <w:sz w:val="20"/>
                <w:szCs w:val="20"/>
              </w:rPr>
              <w:t>Agreement</w:t>
            </w:r>
            <w:r w:rsidRPr="0053583B">
              <w:rPr>
                <w:rFonts w:ascii="宋体" w:eastAsia="宋体" w:hAnsi="宋体" w:cs="宋体" w:hint="eastAsia"/>
                <w:sz w:val="20"/>
                <w:szCs w:val="20"/>
              </w:rPr>
              <w:t>：</w:t>
            </w:r>
          </w:p>
          <w:p w:rsidR="0053583B" w:rsidRPr="0053583B" w:rsidRDefault="0053583B" w:rsidP="0053583B">
            <w:pPr>
              <w:widowControl/>
              <w:spacing w:after="120"/>
              <w:rPr>
                <w:rFonts w:ascii="Times New Roman" w:eastAsia="Calibri Light" w:hAnsi="Times New Roman"/>
                <w:sz w:val="20"/>
                <w:szCs w:val="20"/>
              </w:rPr>
            </w:pPr>
            <w:r w:rsidRPr="0053583B">
              <w:rPr>
                <w:rFonts w:ascii="Times New Roman" w:eastAsia="Calibri Light" w:hAnsi="Times New Roman"/>
                <w:sz w:val="20"/>
                <w:szCs w:val="20"/>
              </w:rPr>
              <w:t>Regarding operation within the same band as the TDD frame structure of legacy system in the 1.6GHz MSS band (shown below), RAN1 work in Rel-19 considers the following design constraints:</w:t>
            </w:r>
          </w:p>
          <w:p w:rsidR="0053583B" w:rsidRPr="0053583B" w:rsidRDefault="0053583B" w:rsidP="0053583B">
            <w:pPr>
              <w:widowControl/>
              <w:numPr>
                <w:ilvl w:val="0"/>
                <w:numId w:val="23"/>
              </w:numPr>
              <w:overflowPunct w:val="0"/>
              <w:spacing w:after="120"/>
              <w:contextualSpacing/>
              <w:textAlignment w:val="baseline"/>
              <w:rPr>
                <w:rFonts w:ascii="Times New Roman" w:eastAsia="Calibri Light" w:hAnsi="Times New Roman" w:cs="inherit"/>
                <w:color w:val="000000"/>
                <w:sz w:val="20"/>
                <w:szCs w:val="20"/>
                <w:lang w:val="en-GB"/>
              </w:rPr>
            </w:pPr>
            <w:r w:rsidRPr="0053583B">
              <w:rPr>
                <w:rFonts w:ascii="Times New Roman" w:eastAsia="Calibri Light" w:hAnsi="Times New Roman" w:cs="inherit"/>
                <w:color w:val="000000"/>
                <w:sz w:val="20"/>
                <w:szCs w:val="20"/>
                <w:lang w:val="en-GB"/>
              </w:rPr>
              <w:t>At the satellite, all downlink NB-IoT channels/signals in a cell can only use one of the downlink slots in the TDD frame structure (DL1, DL2, DL3 or DL4) across 90ms periods.</w:t>
            </w:r>
          </w:p>
          <w:p w:rsidR="0053583B" w:rsidRPr="0053583B" w:rsidRDefault="0053583B" w:rsidP="0053583B">
            <w:pPr>
              <w:widowControl/>
              <w:numPr>
                <w:ilvl w:val="1"/>
                <w:numId w:val="23"/>
              </w:numPr>
              <w:overflowPunct w:val="0"/>
              <w:spacing w:after="120"/>
              <w:contextualSpacing/>
              <w:textAlignment w:val="baseline"/>
              <w:rPr>
                <w:rFonts w:ascii="Times New Roman" w:eastAsia="Calibri Light" w:hAnsi="Times New Roman" w:cs="inherit"/>
                <w:color w:val="000000"/>
                <w:sz w:val="20"/>
                <w:szCs w:val="20"/>
                <w:lang w:val="en-GB"/>
              </w:rPr>
            </w:pPr>
            <w:r w:rsidRPr="0053583B">
              <w:rPr>
                <w:rFonts w:ascii="Times New Roman" w:eastAsia="Calibri Light" w:hAnsi="Times New Roman" w:cs="inherit"/>
                <w:color w:val="000000"/>
                <w:sz w:val="20"/>
                <w:szCs w:val="20"/>
                <w:lang w:val="en-GB"/>
              </w:rPr>
              <w:t>The same downlink slot is used in all the 90ms periods.</w:t>
            </w:r>
          </w:p>
          <w:p w:rsidR="0053583B" w:rsidRPr="0053583B" w:rsidRDefault="0053583B" w:rsidP="0053583B">
            <w:pPr>
              <w:widowControl/>
              <w:numPr>
                <w:ilvl w:val="0"/>
                <w:numId w:val="23"/>
              </w:numPr>
              <w:overflowPunct w:val="0"/>
              <w:spacing w:after="120"/>
              <w:contextualSpacing/>
              <w:textAlignment w:val="baseline"/>
              <w:rPr>
                <w:rFonts w:ascii="Times New Roman" w:eastAsia="Calibri Light" w:hAnsi="Times New Roman" w:cs="inherit"/>
                <w:color w:val="000000"/>
                <w:sz w:val="20"/>
                <w:szCs w:val="20"/>
              </w:rPr>
            </w:pPr>
            <w:r w:rsidRPr="0053583B">
              <w:rPr>
                <w:rFonts w:ascii="Times New Roman" w:eastAsia="Calibri Light" w:hAnsi="Times New Roman" w:cs="inherit"/>
                <w:color w:val="000000"/>
                <w:sz w:val="20"/>
                <w:szCs w:val="20"/>
                <w:lang w:val="en-GB"/>
              </w:rPr>
              <w:t>At the satellite, all uplink NB-IoT channels in a cell can only use one of the uplink slots in the TDD frame structure (UL1, UL2, UL3 or UL4) across 90ms periods</w:t>
            </w:r>
            <w:r w:rsidRPr="0053583B">
              <w:rPr>
                <w:rFonts w:ascii="Times New Roman" w:eastAsia="Calibri Light" w:hAnsi="Times New Roman" w:cs="inherit"/>
                <w:color w:val="000000"/>
                <w:sz w:val="20"/>
                <w:szCs w:val="20"/>
              </w:rPr>
              <w:t>.</w:t>
            </w:r>
          </w:p>
          <w:p w:rsidR="0053583B" w:rsidRPr="0053583B" w:rsidRDefault="0053583B" w:rsidP="0053583B">
            <w:pPr>
              <w:widowControl/>
              <w:numPr>
                <w:ilvl w:val="1"/>
                <w:numId w:val="23"/>
              </w:numPr>
              <w:overflowPunct w:val="0"/>
              <w:spacing w:after="120"/>
              <w:contextualSpacing/>
              <w:textAlignment w:val="baseline"/>
              <w:rPr>
                <w:rFonts w:ascii="Times New Roman" w:eastAsia="Calibri Light" w:hAnsi="Times New Roman" w:cs="inherit"/>
                <w:color w:val="000000"/>
                <w:sz w:val="20"/>
                <w:szCs w:val="20"/>
                <w:lang w:val="en-GB"/>
              </w:rPr>
            </w:pPr>
            <w:r w:rsidRPr="0053583B">
              <w:rPr>
                <w:rFonts w:ascii="Times New Roman" w:eastAsia="Calibri Light" w:hAnsi="Times New Roman" w:cs="inherit"/>
                <w:color w:val="000000"/>
                <w:sz w:val="20"/>
                <w:szCs w:val="20"/>
                <w:lang w:val="en-GB"/>
              </w:rPr>
              <w:t>The same uplink slot is used in all the 90ms periods.</w:t>
            </w:r>
          </w:p>
          <w:p w:rsidR="0053583B" w:rsidRPr="0053583B" w:rsidRDefault="0053583B" w:rsidP="0053583B">
            <w:pPr>
              <w:widowControl/>
              <w:numPr>
                <w:ilvl w:val="0"/>
                <w:numId w:val="23"/>
              </w:numPr>
              <w:overflowPunct w:val="0"/>
              <w:spacing w:after="120"/>
              <w:contextualSpacing/>
              <w:textAlignment w:val="baseline"/>
              <w:rPr>
                <w:rFonts w:ascii="Times New Roman" w:eastAsia="Calibri Light" w:hAnsi="Times New Roman" w:cs="inherit"/>
                <w:color w:val="000000"/>
                <w:sz w:val="20"/>
                <w:szCs w:val="20"/>
              </w:rPr>
            </w:pPr>
            <w:r w:rsidRPr="0053583B">
              <w:rPr>
                <w:rFonts w:ascii="Times New Roman" w:eastAsia="Calibri Light" w:hAnsi="Times New Roman" w:cs="inherit"/>
                <w:color w:val="000000"/>
                <w:sz w:val="20"/>
                <w:szCs w:val="20"/>
              </w:rPr>
              <w:t>The one uplink slot and one downlink slot in the TDD frame structure have the same index (DL1 &amp; UL1, DL2 &amp; UL2, DL3 &amp; UL3, or DL4 &amp; UL4).</w:t>
            </w:r>
          </w:p>
          <w:p w:rsidR="0053583B" w:rsidRPr="0053583B" w:rsidRDefault="0053583B" w:rsidP="0053583B">
            <w:pPr>
              <w:widowControl/>
              <w:numPr>
                <w:ilvl w:val="0"/>
                <w:numId w:val="23"/>
              </w:numPr>
              <w:overflowPunct w:val="0"/>
              <w:spacing w:after="120"/>
              <w:contextualSpacing/>
              <w:textAlignment w:val="baseline"/>
              <w:rPr>
                <w:rFonts w:ascii="Times New Roman" w:eastAsia="Calibri Light" w:hAnsi="Times New Roman" w:cs="inherit"/>
                <w:color w:val="000000"/>
                <w:sz w:val="20"/>
                <w:szCs w:val="20"/>
              </w:rPr>
            </w:pPr>
            <w:r w:rsidRPr="0053583B">
              <w:rPr>
                <w:rFonts w:ascii="Times New Roman" w:eastAsia="Calibri Light" w:hAnsi="Times New Roman" w:cs="inherit"/>
                <w:color w:val="000000"/>
                <w:sz w:val="20"/>
                <w:szCs w:val="20"/>
                <w:lang w:val="en-GB"/>
              </w:rPr>
              <w:t>NOTE: this does not imply that the only configuration(s) to be specified are according to these constraints.</w:t>
            </w:r>
          </w:p>
          <w:p w:rsidR="0053583B" w:rsidRPr="0053583B" w:rsidRDefault="0053583B" w:rsidP="0053583B">
            <w:pPr>
              <w:widowControl/>
              <w:spacing w:after="120"/>
              <w:jc w:val="center"/>
              <w:rPr>
                <w:rFonts w:ascii="Times New Roman" w:eastAsia="Calibri Light" w:hAnsi="Times New Roman"/>
                <w:sz w:val="20"/>
                <w:szCs w:val="20"/>
              </w:rPr>
            </w:pPr>
            <w:r w:rsidRPr="0053583B">
              <w:rPr>
                <w:rFonts w:eastAsia="Calibri Light"/>
                <w:noProof/>
                <w:sz w:val="20"/>
                <w:szCs w:val="20"/>
              </w:rPr>
              <w:drawing>
                <wp:inline distT="0" distB="0" distL="0" distR="0" wp14:anchorId="6221F8A7" wp14:editId="4C4D0B63">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rsidR="0053583B" w:rsidRPr="0053583B" w:rsidRDefault="0053583B" w:rsidP="0053583B">
      <w:pPr>
        <w:widowControl/>
        <w:spacing w:before="240" w:after="120"/>
        <w:rPr>
          <w:rFonts w:eastAsia="Calibri Light" w:cs="Calibri Light"/>
          <w:sz w:val="20"/>
          <w:szCs w:val="20"/>
          <w:lang w:val="en-GB" w:eastAsia="en-US"/>
        </w:rPr>
      </w:pPr>
      <w:r w:rsidRPr="0053583B">
        <w:rPr>
          <w:rFonts w:eastAsia="Calibri Light" w:cs="Calibri Light"/>
          <w:sz w:val="20"/>
          <w:szCs w:val="20"/>
          <w:lang w:val="en-GB"/>
        </w:rPr>
        <w:t>In this paper</w:t>
      </w:r>
      <w:r w:rsidRPr="0053583B">
        <w:rPr>
          <w:rFonts w:eastAsia="Calibri Light" w:cs="Calibri Light"/>
          <w:sz w:val="20"/>
          <w:szCs w:val="20"/>
          <w:lang w:val="en-GB" w:eastAsia="en-GB"/>
        </w:rPr>
        <w:t xml:space="preserve">, </w:t>
      </w:r>
      <w:r w:rsidRPr="0053583B">
        <w:rPr>
          <w:rFonts w:eastAsia="Calibri Light" w:cs="Calibri Light"/>
          <w:sz w:val="20"/>
          <w:szCs w:val="20"/>
          <w:lang w:val="en-GB"/>
        </w:rPr>
        <w:t xml:space="preserve">we further discuss the remaining issue of </w:t>
      </w:r>
      <w:r w:rsidR="00ED6650">
        <w:rPr>
          <w:rFonts w:eastAsia="Calibri Light" w:cs="Calibri Light"/>
          <w:sz w:val="20"/>
          <w:szCs w:val="20"/>
          <w:lang w:val="en-GB"/>
        </w:rPr>
        <w:t>n</w:t>
      </w:r>
      <w:r w:rsidR="00ED6650" w:rsidRPr="00ED6650">
        <w:rPr>
          <w:rFonts w:eastAsia="Calibri Light" w:cs="Calibri Light"/>
          <w:sz w:val="20"/>
          <w:szCs w:val="20"/>
          <w:lang w:val="en-GB"/>
        </w:rPr>
        <w:t>eighbour cell measurement in IoT NTN TDD</w:t>
      </w:r>
      <w:r w:rsidRPr="0053583B">
        <w:rPr>
          <w:rFonts w:eastAsia="Calibri Light" w:cs="Calibri Light"/>
          <w:sz w:val="20"/>
          <w:szCs w:val="20"/>
          <w:lang w:val="en-GB" w:eastAsia="en-US"/>
        </w:rPr>
        <w:t>.</w:t>
      </w:r>
    </w:p>
    <w:p w:rsidR="00A550A9" w:rsidRDefault="004E20A7">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rsidR="0053583B" w:rsidRPr="009E66E8" w:rsidRDefault="0053583B" w:rsidP="0053583B">
      <w:pPr>
        <w:rPr>
          <w:rFonts w:eastAsia="Calibri Light" w:cs="Calibri Light"/>
          <w:sz w:val="20"/>
          <w:szCs w:val="20"/>
          <w:lang w:val="en-GB"/>
        </w:rPr>
      </w:pPr>
      <w:bookmarkStart w:id="6" w:name="_Toc147158672"/>
      <w:bookmarkStart w:id="7" w:name="_Toc499559239"/>
      <w:bookmarkStart w:id="8" w:name="_Toc61387173"/>
      <w:bookmarkEnd w:id="3"/>
      <w:bookmarkEnd w:id="4"/>
      <w:bookmarkEnd w:id="5"/>
      <w:r w:rsidRPr="00E63FB0">
        <w:rPr>
          <w:rFonts w:eastAsia="Calibri Light" w:cs="Calibri Light"/>
          <w:sz w:val="20"/>
          <w:szCs w:val="20"/>
          <w:lang w:val="en-GB"/>
        </w:rPr>
        <w:t xml:space="preserve">In </w:t>
      </w:r>
      <w:r w:rsidR="00ED6650">
        <w:rPr>
          <w:rFonts w:eastAsia="Calibri Light" w:cs="Calibri Light"/>
          <w:sz w:val="20"/>
          <w:szCs w:val="20"/>
          <w:lang w:val="en-GB"/>
        </w:rPr>
        <w:t xml:space="preserve">the </w:t>
      </w:r>
      <w:r w:rsidRPr="00E63FB0">
        <w:rPr>
          <w:rFonts w:eastAsia="Calibri Light" w:cs="Calibri Light"/>
          <w:sz w:val="20"/>
          <w:szCs w:val="20"/>
          <w:lang w:val="en-GB"/>
        </w:rPr>
        <w:t>RAN2#13</w:t>
      </w:r>
      <w:r>
        <w:rPr>
          <w:rFonts w:eastAsia="Calibri Light" w:cs="Calibri Light"/>
          <w:sz w:val="20"/>
          <w:szCs w:val="20"/>
          <w:lang w:val="en-GB"/>
        </w:rPr>
        <w:t>1</w:t>
      </w:r>
      <w:r w:rsidRPr="00E63FB0">
        <w:rPr>
          <w:rFonts w:eastAsia="Calibri Light" w:cs="Calibri Light"/>
          <w:sz w:val="20"/>
          <w:szCs w:val="20"/>
          <w:lang w:val="en-GB"/>
        </w:rPr>
        <w:t xml:space="preserve"> meeting</w:t>
      </w:r>
      <w:r w:rsidRPr="0053583B">
        <w:rPr>
          <w:rFonts w:eastAsia="Calibri Light" w:cs="Calibri Light" w:hint="eastAsia"/>
          <w:sz w:val="20"/>
          <w:szCs w:val="20"/>
          <w:lang w:val="en-GB"/>
        </w:rPr>
        <w:t>,</w:t>
      </w:r>
      <w:r>
        <w:rPr>
          <w:rFonts w:eastAsia="Calibri Light" w:cs="Calibri Light"/>
          <w:sz w:val="20"/>
          <w:szCs w:val="20"/>
          <w:lang w:val="en-GB"/>
        </w:rPr>
        <w:t xml:space="preserve"> </w:t>
      </w:r>
      <w:r w:rsidR="0038052B" w:rsidRPr="00E63FB0">
        <w:rPr>
          <w:rFonts w:eastAsia="Calibri Light" w:cs="Calibri Light"/>
          <w:sz w:val="20"/>
          <w:szCs w:val="20"/>
          <w:lang w:val="en-GB"/>
        </w:rPr>
        <w:t>the following agreements were reached for</w:t>
      </w:r>
      <w:r w:rsidR="00ED6650">
        <w:rPr>
          <w:rFonts w:eastAsia="Calibri Light" w:cs="Calibri Light"/>
          <w:sz w:val="20"/>
          <w:szCs w:val="20"/>
          <w:lang w:val="en-GB"/>
        </w:rPr>
        <w:t xml:space="preserve"> neighbour cell measurement</w:t>
      </w:r>
      <w:r w:rsidR="0038052B" w:rsidRPr="00E63FB0">
        <w:rPr>
          <w:rFonts w:eastAsia="Calibri Light" w:cs="Calibri Light"/>
          <w:sz w:val="20"/>
          <w:szCs w:val="20"/>
          <w:lang w:val="en-GB" w:eastAsia="en-US"/>
        </w:rPr>
        <w:t>.</w:t>
      </w:r>
    </w:p>
    <w:tbl>
      <w:tblPr>
        <w:tblStyle w:val="xTableaupagedegarde1"/>
        <w:tblW w:w="0" w:type="auto"/>
        <w:tblLook w:val="04A0" w:firstRow="1" w:lastRow="0" w:firstColumn="1" w:lastColumn="0" w:noHBand="0" w:noVBand="1"/>
      </w:tblPr>
      <w:tblGrid>
        <w:gridCol w:w="9307"/>
      </w:tblGrid>
      <w:tr w:rsidR="0053583B" w:rsidRPr="00E63FB0" w:rsidTr="00E563C3">
        <w:tc>
          <w:tcPr>
            <w:tcW w:w="9307" w:type="dxa"/>
          </w:tcPr>
          <w:p w:rsidR="0038052B" w:rsidRPr="00E63FB0" w:rsidRDefault="0038052B" w:rsidP="0038052B">
            <w:pPr>
              <w:widowControl/>
              <w:spacing w:after="120"/>
              <w:rPr>
                <w:rFonts w:ascii="Times New Roman" w:eastAsia="Calibri Light" w:hAnsi="Times New Roman"/>
                <w:b/>
                <w:sz w:val="20"/>
                <w:szCs w:val="20"/>
                <w:lang w:val="en-GB"/>
              </w:rPr>
            </w:pPr>
            <w:r w:rsidRPr="00E63FB0">
              <w:rPr>
                <w:rFonts w:ascii="Times New Roman" w:eastAsia="Calibri Light" w:hAnsi="Times New Roman"/>
                <w:b/>
                <w:sz w:val="20"/>
                <w:szCs w:val="20"/>
                <w:lang w:val="en-GB"/>
              </w:rPr>
              <w:t>Agreements:</w:t>
            </w:r>
          </w:p>
          <w:p w:rsidR="0053583B" w:rsidRPr="00ED6650" w:rsidRDefault="0038052B" w:rsidP="0038052B">
            <w:pPr>
              <w:widowControl/>
              <w:spacing w:after="120"/>
              <w:rPr>
                <w:b/>
                <w:szCs w:val="24"/>
              </w:rPr>
            </w:pPr>
            <w:r w:rsidRPr="00ED6650">
              <w:rPr>
                <w:rFonts w:ascii="Times New Roman" w:eastAsia="Calibri Light" w:hAnsi="Times New Roman"/>
                <w:b/>
                <w:sz w:val="20"/>
                <w:szCs w:val="20"/>
                <w:lang w:val="en-GB"/>
              </w:rPr>
              <w:lastRenderedPageBreak/>
              <w:t>TDD radio frame offset between serving cell and neighbor cell(s) can be provided via SIB33 to the UE for neighbor cell measurement</w:t>
            </w:r>
            <w:r w:rsidR="002104EE" w:rsidRPr="00ED6650">
              <w:rPr>
                <w:rFonts w:ascii="Times New Roman" w:eastAsia="Calibri Light" w:hAnsi="Times New Roman"/>
                <w:b/>
                <w:sz w:val="20"/>
                <w:szCs w:val="20"/>
                <w:lang w:val="en-GB"/>
              </w:rPr>
              <w:t>.</w:t>
            </w:r>
          </w:p>
        </w:tc>
      </w:tr>
    </w:tbl>
    <w:p w:rsidR="00CA4FAF" w:rsidRPr="0048743A" w:rsidRDefault="00ED6650" w:rsidP="00C740C9">
      <w:pPr>
        <w:widowControl/>
        <w:spacing w:before="240" w:after="120"/>
        <w:rPr>
          <w:rFonts w:eastAsiaTheme="minorEastAsia" w:cs="Calibri Light"/>
          <w:sz w:val="20"/>
          <w:szCs w:val="20"/>
          <w:lang w:val="en-GB"/>
        </w:rPr>
      </w:pPr>
      <w:r>
        <w:rPr>
          <w:rFonts w:eastAsia="Calibri Light" w:cs="Calibri Light"/>
          <w:sz w:val="20"/>
          <w:szCs w:val="20"/>
          <w:lang w:val="en-GB"/>
        </w:rPr>
        <w:lastRenderedPageBreak/>
        <w:t>However, b</w:t>
      </w:r>
      <w:r w:rsidR="0038052B">
        <w:rPr>
          <w:rFonts w:eastAsia="Calibri Light" w:cs="Calibri Light"/>
          <w:sz w:val="20"/>
          <w:szCs w:val="20"/>
          <w:lang w:val="en-GB"/>
        </w:rPr>
        <w:t>ased on the agreement</w:t>
      </w:r>
      <w:r w:rsidR="002104EE">
        <w:rPr>
          <w:rFonts w:eastAsia="Calibri Light" w:cs="Calibri Light"/>
          <w:sz w:val="20"/>
          <w:szCs w:val="20"/>
          <w:lang w:val="en-GB"/>
        </w:rPr>
        <w:t xml:space="preserve">, </w:t>
      </w:r>
      <w:r>
        <w:rPr>
          <w:rFonts w:eastAsia="Calibri Light" w:cs="Calibri Light"/>
          <w:sz w:val="20"/>
          <w:szCs w:val="20"/>
          <w:lang w:val="en-GB"/>
        </w:rPr>
        <w:t xml:space="preserve">it is not crystal clear about how the neighbour measurement is done with this offset. Now it is clear that the offset is to help UE detect the Frame boundary of the neighbour cell. Based on the Frame Structure specified in RAN1, there will be </w:t>
      </w:r>
      <w:r w:rsidR="00C740C9">
        <w:rPr>
          <w:rFonts w:eastAsia="Calibri Light" w:cs="Calibri Light"/>
          <w:sz w:val="20"/>
          <w:szCs w:val="20"/>
          <w:lang w:val="en-GB"/>
        </w:rPr>
        <w:t xml:space="preserve">a set of </w:t>
      </w:r>
      <w:r>
        <w:rPr>
          <w:rFonts w:eastAsia="Calibri Light" w:cs="Calibri Light"/>
          <w:sz w:val="20"/>
          <w:szCs w:val="20"/>
          <w:lang w:val="en-GB"/>
        </w:rPr>
        <w:t>consecutive valid downlink frames</w:t>
      </w:r>
      <w:r w:rsidR="00C740C9">
        <w:rPr>
          <w:rFonts w:eastAsia="Calibri Light" w:cs="Calibri Light"/>
          <w:sz w:val="20"/>
          <w:szCs w:val="20"/>
          <w:lang w:val="en-GB"/>
        </w:rPr>
        <w:t xml:space="preserve"> (8.28ms)</w:t>
      </w:r>
      <w:r>
        <w:rPr>
          <w:rFonts w:eastAsia="Calibri Light" w:cs="Calibri Light"/>
          <w:sz w:val="20"/>
          <w:szCs w:val="20"/>
          <w:lang w:val="en-GB"/>
        </w:rPr>
        <w:t xml:space="preserve"> within one 90ms frame structure. Therefore, in order to measure the neighbour cell, UE should monitor </w:t>
      </w:r>
      <w:r w:rsidR="00C740C9">
        <w:rPr>
          <w:rFonts w:eastAsia="Calibri Light" w:cs="Calibri Light"/>
          <w:sz w:val="20"/>
          <w:szCs w:val="20"/>
          <w:lang w:val="en-GB"/>
        </w:rPr>
        <w:t xml:space="preserve">the neighbour downlink reference signal </w:t>
      </w:r>
      <w:r>
        <w:rPr>
          <w:rFonts w:eastAsia="Calibri Light" w:cs="Calibri Light"/>
          <w:sz w:val="20"/>
          <w:szCs w:val="20"/>
          <w:lang w:val="en-GB"/>
        </w:rPr>
        <w:t xml:space="preserve">from the </w:t>
      </w:r>
      <w:r w:rsidR="00C740C9">
        <w:rPr>
          <w:rFonts w:eastAsia="Calibri Light" w:cs="Calibri Light"/>
          <w:sz w:val="20"/>
          <w:szCs w:val="20"/>
          <w:lang w:val="en-GB"/>
        </w:rPr>
        <w:t xml:space="preserve">start of the consecutive valid downlink frames which lasts 8.28ms, based on the </w:t>
      </w:r>
      <w:r w:rsidR="00C740C9" w:rsidRPr="00C740C9">
        <w:rPr>
          <w:rFonts w:eastAsia="Calibri Light" w:cs="Calibri Light"/>
          <w:sz w:val="20"/>
          <w:szCs w:val="20"/>
          <w:lang w:val="en-GB"/>
        </w:rPr>
        <w:t>TDD radio frame offset</w:t>
      </w:r>
      <w:r w:rsidR="00C740C9">
        <w:rPr>
          <w:rFonts w:eastAsia="Calibri Light" w:cs="Calibri Light"/>
          <w:sz w:val="20"/>
          <w:szCs w:val="20"/>
          <w:lang w:val="en-GB"/>
        </w:rPr>
        <w:t xml:space="preserve">.  </w:t>
      </w:r>
      <w:r>
        <w:rPr>
          <w:rFonts w:eastAsia="Calibri Light" w:cs="Calibri Light"/>
          <w:sz w:val="20"/>
          <w:szCs w:val="20"/>
          <w:lang w:val="en-GB"/>
        </w:rPr>
        <w:t xml:space="preserve"> </w:t>
      </w:r>
    </w:p>
    <w:p w:rsidR="00DE7BB3" w:rsidRPr="0071790D" w:rsidRDefault="00E22177" w:rsidP="0071790D">
      <w:pPr>
        <w:rPr>
          <w:rFonts w:cs="Calibri Light"/>
          <w:b/>
          <w:sz w:val="20"/>
          <w:szCs w:val="20"/>
          <w:lang w:val="en-GB"/>
        </w:rPr>
      </w:pPr>
      <w:r w:rsidRPr="00434D8B">
        <w:rPr>
          <w:rFonts w:eastAsia="Calibri Light" w:cs="Calibri Light"/>
          <w:b/>
          <w:sz w:val="20"/>
          <w:szCs w:val="20"/>
          <w:lang w:val="en-GB"/>
        </w:rPr>
        <w:t xml:space="preserve">Proposal </w:t>
      </w:r>
      <w:r>
        <w:rPr>
          <w:rFonts w:eastAsia="Calibri Light" w:cs="Calibri Light"/>
          <w:b/>
          <w:sz w:val="20"/>
          <w:szCs w:val="20"/>
          <w:lang w:val="en-GB"/>
        </w:rPr>
        <w:t>1</w:t>
      </w:r>
      <w:r w:rsidR="0048743A">
        <w:rPr>
          <w:rFonts w:eastAsia="Calibri Light" w:cs="Calibri Light"/>
          <w:b/>
          <w:sz w:val="20"/>
          <w:szCs w:val="20"/>
          <w:lang w:val="en-GB"/>
        </w:rPr>
        <w:t xml:space="preserve">: </w:t>
      </w:r>
      <w:r w:rsidRPr="00E22177">
        <w:rPr>
          <w:rFonts w:eastAsia="Calibri Light" w:cs="Calibri Light"/>
          <w:b/>
          <w:sz w:val="20"/>
          <w:szCs w:val="20"/>
          <w:lang w:val="en-GB"/>
        </w:rPr>
        <w:t>RAN2 clarif</w:t>
      </w:r>
      <w:r w:rsidR="00C740C9">
        <w:rPr>
          <w:rFonts w:eastAsia="Calibri Light" w:cs="Calibri Light"/>
          <w:b/>
          <w:sz w:val="20"/>
          <w:szCs w:val="20"/>
          <w:lang w:val="en-GB"/>
        </w:rPr>
        <w:t>ies that</w:t>
      </w:r>
      <w:r w:rsidRPr="00E22177">
        <w:rPr>
          <w:rFonts w:eastAsia="Calibri Light" w:cs="Calibri Light"/>
          <w:b/>
          <w:sz w:val="20"/>
          <w:szCs w:val="20"/>
          <w:lang w:val="en-GB"/>
        </w:rPr>
        <w:t xml:space="preserve"> UE </w:t>
      </w:r>
      <w:r w:rsidR="0003089D">
        <w:rPr>
          <w:rFonts w:eastAsia="Calibri Light" w:cs="Calibri Light"/>
          <w:b/>
          <w:sz w:val="20"/>
          <w:szCs w:val="20"/>
          <w:lang w:val="en-GB"/>
        </w:rPr>
        <w:t>should</w:t>
      </w:r>
      <w:r>
        <w:rPr>
          <w:rFonts w:eastAsia="Calibri Light" w:cs="Calibri Light"/>
          <w:b/>
          <w:sz w:val="20"/>
          <w:szCs w:val="20"/>
          <w:lang w:val="en-GB"/>
        </w:rPr>
        <w:t xml:space="preserve"> </w:t>
      </w:r>
      <w:r w:rsidRPr="00E22177">
        <w:rPr>
          <w:rFonts w:eastAsia="Calibri Light" w:cs="Calibri Light"/>
          <w:b/>
          <w:sz w:val="20"/>
          <w:szCs w:val="20"/>
          <w:lang w:val="en-GB"/>
        </w:rPr>
        <w:t xml:space="preserve">perform </w:t>
      </w:r>
      <w:r w:rsidR="00C740C9">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00C740C9" w:rsidRPr="00C740C9">
        <w:rPr>
          <w:rFonts w:eastAsia="Calibri Light" w:cs="Calibri Light"/>
          <w:b/>
          <w:sz w:val="20"/>
          <w:szCs w:val="20"/>
          <w:lang w:val="en-GB"/>
        </w:rPr>
        <w:t>8.28ms</w:t>
      </w:r>
      <w:r w:rsidR="00C740C9">
        <w:rPr>
          <w:rFonts w:eastAsia="Calibri Light" w:cs="Calibri Light"/>
          <w:b/>
          <w:sz w:val="20"/>
          <w:szCs w:val="20"/>
          <w:lang w:val="en-GB"/>
        </w:rPr>
        <w:t xml:space="preserve"> duration from the start of the </w:t>
      </w:r>
      <w:r w:rsidR="00C740C9" w:rsidRPr="00C740C9">
        <w:rPr>
          <w:rFonts w:eastAsia="Calibri Light" w:cs="Calibri Light"/>
          <w:b/>
          <w:sz w:val="20"/>
          <w:szCs w:val="20"/>
          <w:lang w:val="en-GB"/>
        </w:rPr>
        <w:t xml:space="preserve">valid downlink </w:t>
      </w:r>
      <w:r w:rsidR="00C740C9">
        <w:rPr>
          <w:rFonts w:eastAsia="Calibri Light" w:cs="Calibri Light"/>
          <w:b/>
          <w:sz w:val="20"/>
          <w:szCs w:val="20"/>
          <w:lang w:val="en-GB"/>
        </w:rPr>
        <w:t>duration</w:t>
      </w:r>
      <w:r w:rsidRPr="00E22177">
        <w:rPr>
          <w:rFonts w:eastAsia="Calibri Light" w:cs="Calibri Light"/>
          <w:b/>
          <w:sz w:val="20"/>
          <w:szCs w:val="20"/>
          <w:lang w:val="en-GB"/>
        </w:rPr>
        <w:t>.</w:t>
      </w:r>
    </w:p>
    <w:p w:rsidR="00434D8B" w:rsidRPr="00434D8B" w:rsidRDefault="0071790D" w:rsidP="00434D8B">
      <w:pPr>
        <w:widowControl/>
        <w:spacing w:before="240" w:after="120"/>
        <w:rPr>
          <w:rFonts w:eastAsia="Calibri Light" w:cs="Calibri Light"/>
          <w:sz w:val="20"/>
          <w:szCs w:val="20"/>
          <w:lang w:val="en-GB"/>
        </w:rPr>
      </w:pPr>
      <w:r w:rsidRPr="00434D8B">
        <w:rPr>
          <w:rFonts w:eastAsia="Calibri Light" w:cs="Calibri Light"/>
          <w:sz w:val="20"/>
          <w:szCs w:val="20"/>
          <w:lang w:val="en-GB"/>
        </w:rPr>
        <w:t xml:space="preserve">Furthermore, </w:t>
      </w:r>
      <w:r w:rsidR="007D62B4">
        <w:rPr>
          <w:rFonts w:eastAsia="Calibri Light" w:cs="Calibri Light"/>
          <w:sz w:val="20"/>
          <w:szCs w:val="20"/>
          <w:lang w:val="en-GB"/>
        </w:rPr>
        <w:t xml:space="preserve">in legacy, </w:t>
      </w:r>
      <w:r>
        <w:rPr>
          <w:rFonts w:eastAsia="Calibri Light" w:cs="Calibri Light"/>
          <w:sz w:val="20"/>
          <w:szCs w:val="20"/>
          <w:lang w:val="en-GB"/>
        </w:rPr>
        <w:t>f</w:t>
      </w:r>
      <w:r w:rsidR="00434D8B" w:rsidRPr="00434D8B">
        <w:rPr>
          <w:rFonts w:eastAsia="Calibri Light" w:cs="Calibri Light"/>
          <w:sz w:val="20"/>
          <w:szCs w:val="20"/>
          <w:lang w:val="en-GB"/>
        </w:rPr>
        <w:t xml:space="preserve">or inter-frequency measurements in RRC_CONNECTED to reduce RRC re-establishment time, the UE </w:t>
      </w:r>
      <w:r w:rsidR="007D62B4">
        <w:rPr>
          <w:rFonts w:eastAsia="Calibri Light" w:cs="Calibri Light"/>
          <w:sz w:val="20"/>
          <w:szCs w:val="20"/>
          <w:lang w:val="en-GB"/>
        </w:rPr>
        <w:t>can</w:t>
      </w:r>
      <w:r w:rsidR="00434D8B" w:rsidRPr="00434D8B">
        <w:rPr>
          <w:rFonts w:eastAsia="Calibri Light" w:cs="Calibri Light"/>
          <w:sz w:val="20"/>
          <w:szCs w:val="20"/>
          <w:lang w:val="en-GB"/>
        </w:rPr>
        <w:t xml:space="preserve"> perform neighbour cell measurements during DL/UL idle periods that are provided by DRX or packet scheduling </w:t>
      </w:r>
      <w:r w:rsidR="00434D8B" w:rsidRPr="00434D8B">
        <w:rPr>
          <w:rFonts w:eastAsia="Calibri Light" w:cs="Calibri Light" w:hint="eastAsia"/>
          <w:sz w:val="20"/>
          <w:szCs w:val="20"/>
          <w:lang w:val="en-GB"/>
        </w:rPr>
        <w:t>b</w:t>
      </w:r>
      <w:r w:rsidR="00434D8B" w:rsidRPr="00434D8B">
        <w:rPr>
          <w:rFonts w:eastAsia="Calibri Light" w:cs="Calibri Light"/>
          <w:sz w:val="20"/>
          <w:szCs w:val="20"/>
          <w:lang w:val="en-GB"/>
        </w:rPr>
        <w:t>ased on existing TS 36.300</w:t>
      </w:r>
      <w:r w:rsidR="007D62B4" w:rsidRPr="00434D8B">
        <w:rPr>
          <w:rFonts w:eastAsia="Calibri Light" w:cs="Calibri Light"/>
          <w:sz w:val="20"/>
          <w:szCs w:val="20"/>
          <w:lang w:val="en-GB"/>
        </w:rPr>
        <w:t xml:space="preserve">. </w:t>
      </w:r>
    </w:p>
    <w:tbl>
      <w:tblPr>
        <w:tblStyle w:val="af3"/>
        <w:tblW w:w="0" w:type="auto"/>
        <w:tblLook w:val="04A0" w:firstRow="1" w:lastRow="0" w:firstColumn="1" w:lastColumn="0" w:noHBand="0" w:noVBand="1"/>
      </w:tblPr>
      <w:tblGrid>
        <w:gridCol w:w="9307"/>
      </w:tblGrid>
      <w:tr w:rsidR="00434D8B" w:rsidTr="00E27E81">
        <w:tc>
          <w:tcPr>
            <w:tcW w:w="9307" w:type="dxa"/>
          </w:tcPr>
          <w:p w:rsidR="00434D8B" w:rsidRPr="00434D8B" w:rsidRDefault="00434D8B" w:rsidP="00E27E81">
            <w:pPr>
              <w:rPr>
                <w:b/>
              </w:rPr>
            </w:pPr>
            <w:r w:rsidRPr="00434D8B">
              <w:rPr>
                <w:b/>
              </w:rPr>
              <w:t>TS 36.300:</w:t>
            </w:r>
          </w:p>
          <w:p w:rsidR="00434D8B" w:rsidRPr="00434D8B" w:rsidRDefault="00434D8B" w:rsidP="00E27E81">
            <w:pPr>
              <w:overflowPunct w:val="0"/>
              <w:spacing w:after="180"/>
              <w:textAlignment w:val="baseline"/>
              <w:rPr>
                <w:rFonts w:eastAsia="Times New Roman"/>
                <w:lang w:eastAsia="ja-JP"/>
              </w:rPr>
            </w:pPr>
            <w:r w:rsidRPr="00434D8B">
              <w:rPr>
                <w:rFonts w:eastAsia="Times New Roman"/>
                <w:highlight w:val="yellow"/>
                <w:lang w:eastAsia="ja-JP"/>
              </w:rPr>
              <w:t xml:space="preserve">For NB-IoT, measurements in RRC_CONNECTED are optionally supported </w:t>
            </w:r>
            <w:r w:rsidRPr="00434D8B">
              <w:rPr>
                <w:rFonts w:eastAsia="等线"/>
                <w:highlight w:val="yellow"/>
              </w:rPr>
              <w:t>to reduce the time taken for RRC reestablishment</w:t>
            </w:r>
            <w:r w:rsidRPr="00434D8B">
              <w:rPr>
                <w:rFonts w:eastAsia="等线"/>
              </w:rPr>
              <w:t>. The following principles are applied</w:t>
            </w:r>
            <w:r w:rsidRPr="00434D8B">
              <w:rPr>
                <w:rFonts w:eastAsia="Times New Roman"/>
                <w:lang w:eastAsia="ja-JP"/>
              </w:rPr>
              <w:t>:</w:t>
            </w:r>
          </w:p>
          <w:p w:rsidR="00434D8B" w:rsidRPr="00434D8B" w:rsidRDefault="00434D8B" w:rsidP="00E27E81">
            <w:pPr>
              <w:overflowPunct w:val="0"/>
              <w:spacing w:after="180"/>
              <w:ind w:left="568" w:hanging="284"/>
              <w:textAlignment w:val="baseline"/>
              <w:rPr>
                <w:rFonts w:eastAsia="Times New Roman"/>
                <w:lang w:eastAsia="ja-JP"/>
              </w:rPr>
            </w:pPr>
            <w:r w:rsidRPr="00434D8B">
              <w:rPr>
                <w:rFonts w:eastAsia="Times New Roman"/>
                <w:lang w:eastAsia="ja-JP"/>
              </w:rPr>
              <w:t>-</w:t>
            </w:r>
            <w:r w:rsidRPr="00434D8B">
              <w:rPr>
                <w:rFonts w:eastAsia="Times New Roman"/>
                <w:lang w:eastAsia="ja-JP"/>
              </w:rPr>
              <w:tab/>
              <w:t>The "current cell" above refers to the configured carrier in the serving cell. The "target cell" above refers to the anchor carrier in the target cell. For instance, for the definition of intra and inter frequency measurements, this means:</w:t>
            </w:r>
          </w:p>
          <w:p w:rsidR="00434D8B" w:rsidRPr="00434D8B" w:rsidRDefault="00434D8B" w:rsidP="00E27E81">
            <w:pPr>
              <w:overflowPunct w:val="0"/>
              <w:spacing w:after="180"/>
              <w:ind w:left="851" w:hanging="284"/>
              <w:textAlignment w:val="baseline"/>
              <w:rPr>
                <w:rFonts w:eastAsia="Times New Roman"/>
                <w:lang w:eastAsia="ja-JP"/>
              </w:rPr>
            </w:pPr>
            <w:r w:rsidRPr="00434D8B">
              <w:rPr>
                <w:rFonts w:eastAsia="Times New Roman"/>
                <w:lang w:eastAsia="ja-JP"/>
              </w:rPr>
              <w:t>-</w:t>
            </w:r>
            <w:r w:rsidRPr="00434D8B">
              <w:rPr>
                <w:rFonts w:eastAsia="Times New Roman"/>
                <w:lang w:eastAsia="ja-JP"/>
              </w:rPr>
              <w:tab/>
              <w:t>Intra-frequency neighbour (carrier) measurements: Neighbour carrier measurements performed by the UE are intra-frequency measurements when the configured carrier in the serving cell and the anchor carrier in the target cell operates on the same carrier frequency. The UE shall be able to carry out such measurements without measurement gaps.</w:t>
            </w:r>
          </w:p>
          <w:p w:rsidR="00434D8B" w:rsidRPr="00434D8B" w:rsidRDefault="00434D8B" w:rsidP="00E27E81">
            <w:pPr>
              <w:overflowPunct w:val="0"/>
              <w:spacing w:after="180"/>
              <w:ind w:left="851" w:hanging="284"/>
              <w:textAlignment w:val="baseline"/>
              <w:rPr>
                <w:rFonts w:eastAsia="Times New Roman"/>
                <w:lang w:eastAsia="ja-JP"/>
              </w:rPr>
            </w:pPr>
            <w:r w:rsidRPr="00434D8B">
              <w:rPr>
                <w:rFonts w:eastAsia="Times New Roman"/>
                <w:lang w:eastAsia="ja-JP"/>
              </w:rPr>
              <w:t>-</w:t>
            </w:r>
            <w:r w:rsidRPr="00434D8B">
              <w:rPr>
                <w:rFonts w:eastAsia="Times New Roman"/>
                <w:lang w:eastAsia="ja-JP"/>
              </w:rPr>
              <w:tab/>
              <w:t>Inter-frequency neighbour (carrier) measurements: Neighbour cell measurements performed by the UE are inter-frequency measurements when the configured carrier in the serving cell and the anchor carrier in the target cell operates on a different carrier frequency. The UE may not be able to perform such measurements without measurement gaps.</w:t>
            </w:r>
          </w:p>
          <w:p w:rsidR="00434D8B" w:rsidRPr="00434D8B" w:rsidRDefault="00434D8B" w:rsidP="00E27E81">
            <w:pPr>
              <w:overflowPunct w:val="0"/>
              <w:spacing w:after="180"/>
              <w:ind w:left="568" w:hanging="284"/>
              <w:textAlignment w:val="baseline"/>
              <w:rPr>
                <w:rFonts w:eastAsia="Times New Roman"/>
              </w:rPr>
            </w:pPr>
            <w:r w:rsidRPr="00434D8B">
              <w:rPr>
                <w:rFonts w:eastAsia="Times New Roman"/>
                <w:lang w:eastAsia="ja-JP"/>
              </w:rPr>
              <w:t>-</w:t>
            </w:r>
            <w:r w:rsidRPr="00434D8B">
              <w:rPr>
                <w:rFonts w:eastAsia="Times New Roman"/>
                <w:lang w:eastAsia="ja-JP"/>
              </w:rPr>
              <w:tab/>
              <w:t>The eNB configures the criteria to perform measurements via broadcast signalling;</w:t>
            </w:r>
          </w:p>
          <w:p w:rsidR="00434D8B" w:rsidRPr="00434D8B" w:rsidRDefault="00434D8B" w:rsidP="00E27E81">
            <w:pPr>
              <w:overflowPunct w:val="0"/>
              <w:spacing w:after="180"/>
              <w:ind w:left="568" w:hanging="284"/>
              <w:textAlignment w:val="baseline"/>
              <w:rPr>
                <w:rFonts w:eastAsia="Times New Roman"/>
                <w:lang w:eastAsia="ja-JP"/>
              </w:rPr>
            </w:pPr>
            <w:r w:rsidRPr="00434D8B">
              <w:rPr>
                <w:rFonts w:eastAsia="Times New Roman"/>
                <w:lang w:eastAsia="ja-JP"/>
              </w:rPr>
              <w:t>-</w:t>
            </w:r>
            <w:r w:rsidRPr="00434D8B">
              <w:rPr>
                <w:rFonts w:eastAsia="Times New Roman"/>
                <w:lang w:eastAsia="ja-JP"/>
              </w:rPr>
              <w:tab/>
            </w:r>
            <w:r w:rsidRPr="00434D8B">
              <w:rPr>
                <w:rFonts w:eastAsia="Times New Roman"/>
                <w:highlight w:val="yellow"/>
                <w:lang w:eastAsia="ja-JP"/>
              </w:rPr>
              <w:t>Dedicated measurements gaps are not supported. The UE may need to perform neighbour cell measurements during DL/UL idle periods that are provided by DRX or packet scheduling</w:t>
            </w:r>
            <w:r w:rsidRPr="00434D8B">
              <w:rPr>
                <w:rFonts w:eastAsia="Times New Roman"/>
                <w:lang w:eastAsia="ja-JP"/>
              </w:rPr>
              <w:t>;</w:t>
            </w:r>
          </w:p>
          <w:p w:rsidR="00434D8B" w:rsidRPr="00E02A10" w:rsidRDefault="00434D8B" w:rsidP="00E27E81">
            <w:pPr>
              <w:overflowPunct w:val="0"/>
              <w:spacing w:after="180"/>
              <w:ind w:left="568" w:hanging="284"/>
              <w:textAlignment w:val="baseline"/>
            </w:pPr>
            <w:r w:rsidRPr="00434D8B">
              <w:rPr>
                <w:rFonts w:eastAsia="Times New Roman"/>
                <w:lang w:eastAsia="ja-JP"/>
              </w:rPr>
              <w:t>-</w:t>
            </w:r>
            <w:r w:rsidRPr="00434D8B">
              <w:rPr>
                <w:rFonts w:eastAsia="Times New Roman"/>
                <w:lang w:eastAsia="ja-JP"/>
              </w:rPr>
              <w:tab/>
              <w:t>Measurement reporting is not supported.</w:t>
            </w:r>
          </w:p>
        </w:tc>
      </w:tr>
    </w:tbl>
    <w:p w:rsidR="00434D8B" w:rsidRPr="00E91CD7" w:rsidRDefault="00434D8B" w:rsidP="00434D8B">
      <w:pPr>
        <w:spacing w:afterLines="50" w:after="120"/>
      </w:pPr>
    </w:p>
    <w:p w:rsidR="00434D8B" w:rsidRPr="00434D8B" w:rsidRDefault="007D62B4" w:rsidP="00434D8B">
      <w:pPr>
        <w:rPr>
          <w:rFonts w:eastAsia="Calibri Light" w:cs="Calibri Light"/>
          <w:sz w:val="20"/>
          <w:szCs w:val="20"/>
          <w:lang w:val="en-GB"/>
        </w:rPr>
      </w:pPr>
      <w:r>
        <w:rPr>
          <w:rFonts w:eastAsia="Calibri Light" w:cs="Calibri Light"/>
          <w:sz w:val="20"/>
          <w:szCs w:val="20"/>
          <w:lang w:val="en-GB"/>
        </w:rPr>
        <w:t>Since this is a legacy feature, it should also be supported i</w:t>
      </w:r>
      <w:r w:rsidRPr="00434D8B">
        <w:rPr>
          <w:rFonts w:eastAsia="Calibri Light" w:cs="Calibri Light"/>
          <w:sz w:val="20"/>
          <w:szCs w:val="20"/>
          <w:lang w:val="en-GB"/>
        </w:rPr>
        <w:t xml:space="preserve">n IoT NTN TDD. </w:t>
      </w:r>
      <w:r>
        <w:rPr>
          <w:rFonts w:eastAsia="Calibri Light" w:cs="Calibri Light"/>
          <w:sz w:val="20"/>
          <w:szCs w:val="20"/>
          <w:lang w:val="en-GB"/>
        </w:rPr>
        <w:t xml:space="preserve">Specifically in IoT NTN TDD, due to the new </w:t>
      </w:r>
      <w:r w:rsidRPr="00434D8B">
        <w:rPr>
          <w:rFonts w:eastAsia="Calibri Light" w:cs="Calibri Light"/>
          <w:sz w:val="20"/>
          <w:szCs w:val="20"/>
          <w:lang w:val="en-GB"/>
        </w:rPr>
        <w:t>frame structure</w:t>
      </w:r>
      <w:r>
        <w:rPr>
          <w:rFonts w:eastAsia="Calibri Light" w:cs="Calibri Light"/>
          <w:sz w:val="20"/>
          <w:szCs w:val="20"/>
          <w:lang w:val="en-GB"/>
        </w:rPr>
        <w:t xml:space="preserve">, most of time UE is in non-valid subframes. To reduce the interruption of service due to measurement, RAN2 should clarify UE should be able to </w:t>
      </w:r>
      <w:r w:rsidR="00434D8B" w:rsidRPr="00434D8B">
        <w:rPr>
          <w:rFonts w:eastAsia="Calibri Light" w:cs="Calibri Light"/>
          <w:sz w:val="20"/>
          <w:szCs w:val="20"/>
          <w:lang w:val="en-GB"/>
        </w:rPr>
        <w:t xml:space="preserve">perform </w:t>
      </w:r>
      <w:r>
        <w:rPr>
          <w:rFonts w:eastAsia="Calibri Light" w:cs="Calibri Light"/>
          <w:sz w:val="20"/>
          <w:szCs w:val="20"/>
          <w:lang w:val="en-GB"/>
        </w:rPr>
        <w:t xml:space="preserve">the </w:t>
      </w:r>
      <w:r w:rsidR="00434D8B" w:rsidRPr="00434D8B">
        <w:rPr>
          <w:rFonts w:eastAsia="Calibri Light" w:cs="Calibri Light"/>
          <w:sz w:val="20"/>
          <w:szCs w:val="20"/>
          <w:lang w:val="en-GB"/>
        </w:rPr>
        <w:t xml:space="preserve">inter-frequency </w:t>
      </w:r>
      <w:r w:rsidRPr="00434D8B">
        <w:rPr>
          <w:rFonts w:eastAsia="Calibri Light" w:cs="Calibri Light"/>
          <w:sz w:val="20"/>
          <w:szCs w:val="20"/>
          <w:lang w:val="en-GB"/>
        </w:rPr>
        <w:t>neighbour</w:t>
      </w:r>
      <w:r>
        <w:rPr>
          <w:rFonts w:eastAsia="Calibri Light" w:cs="Calibri Light"/>
          <w:sz w:val="20"/>
          <w:szCs w:val="20"/>
          <w:lang w:val="en-GB"/>
        </w:rPr>
        <w:t xml:space="preserve"> </w:t>
      </w:r>
      <w:r w:rsidR="00434D8B" w:rsidRPr="00434D8B">
        <w:rPr>
          <w:rFonts w:eastAsia="Calibri Light" w:cs="Calibri Light"/>
          <w:sz w:val="20"/>
          <w:szCs w:val="20"/>
          <w:lang w:val="en-GB"/>
        </w:rPr>
        <w:t xml:space="preserve">cell measurement </w:t>
      </w:r>
      <w:r>
        <w:rPr>
          <w:rFonts w:eastAsia="Calibri Light" w:cs="Calibri Light"/>
          <w:sz w:val="20"/>
          <w:szCs w:val="20"/>
          <w:lang w:val="en-GB"/>
        </w:rPr>
        <w:lastRenderedPageBreak/>
        <w:t>during the invalid UL and DL periods</w:t>
      </w:r>
      <w:r w:rsidR="00434D8B" w:rsidRPr="00434D8B">
        <w:rPr>
          <w:rFonts w:eastAsia="Calibri Light" w:cs="Calibri Light"/>
          <w:sz w:val="20"/>
          <w:szCs w:val="20"/>
          <w:lang w:val="en-GB"/>
        </w:rPr>
        <w:t xml:space="preserve">. </w:t>
      </w:r>
    </w:p>
    <w:p w:rsidR="00DE7BB3" w:rsidRPr="00DE7BB3" w:rsidRDefault="00434D8B" w:rsidP="00434D8B">
      <w:pPr>
        <w:rPr>
          <w:rFonts w:cs="Calibri Light"/>
          <w:b/>
          <w:sz w:val="20"/>
          <w:szCs w:val="20"/>
          <w:lang w:val="en-GB"/>
        </w:rPr>
      </w:pPr>
      <w:r w:rsidRPr="00434D8B">
        <w:rPr>
          <w:rFonts w:eastAsia="Calibri Light" w:cs="Calibri Light"/>
          <w:b/>
          <w:sz w:val="20"/>
          <w:szCs w:val="20"/>
          <w:lang w:val="en-GB"/>
        </w:rPr>
        <w:t xml:space="preserve">Proposal </w:t>
      </w:r>
      <w:r w:rsidR="007D62B4">
        <w:rPr>
          <w:rFonts w:eastAsia="Calibri Light" w:cs="Calibri Light"/>
          <w:b/>
          <w:sz w:val="20"/>
          <w:szCs w:val="20"/>
          <w:lang w:val="en-GB"/>
        </w:rPr>
        <w:t>2</w:t>
      </w:r>
      <w:r w:rsidRPr="00434D8B">
        <w:rPr>
          <w:rFonts w:eastAsia="Calibri Light" w:cs="Calibri Light"/>
          <w:b/>
          <w:sz w:val="20"/>
          <w:szCs w:val="20"/>
          <w:lang w:val="en-GB"/>
        </w:rPr>
        <w:t xml:space="preserve">: RAN2 </w:t>
      </w:r>
      <w:r w:rsidR="007D62B4">
        <w:rPr>
          <w:rFonts w:eastAsia="Calibri Light" w:cs="Calibri Light"/>
          <w:b/>
          <w:sz w:val="20"/>
          <w:szCs w:val="20"/>
          <w:lang w:val="en-GB"/>
        </w:rPr>
        <w:t>clarifies</w:t>
      </w:r>
      <w:r w:rsidR="007D62B4" w:rsidRPr="00434D8B">
        <w:rPr>
          <w:rFonts w:eastAsia="Calibri Light" w:cs="Calibri Light"/>
          <w:b/>
          <w:sz w:val="20"/>
          <w:szCs w:val="20"/>
          <w:lang w:val="en-GB"/>
        </w:rPr>
        <w:t xml:space="preserve"> </w:t>
      </w:r>
      <w:r w:rsidRPr="00434D8B">
        <w:rPr>
          <w:rFonts w:eastAsia="Calibri Light" w:cs="Calibri Light"/>
          <w:b/>
          <w:sz w:val="20"/>
          <w:szCs w:val="20"/>
          <w:lang w:val="en-GB"/>
        </w:rPr>
        <w:t xml:space="preserve">that inter-frequency </w:t>
      </w:r>
      <w:r w:rsidR="0048743A" w:rsidRPr="00434D8B">
        <w:rPr>
          <w:rFonts w:eastAsia="Calibri Light" w:cs="Calibri Light"/>
          <w:b/>
          <w:sz w:val="20"/>
          <w:szCs w:val="20"/>
          <w:lang w:val="en-GB"/>
        </w:rPr>
        <w:t>neighbour</w:t>
      </w:r>
      <w:r w:rsidRPr="00434D8B">
        <w:rPr>
          <w:rFonts w:eastAsia="Calibri Light" w:cs="Calibri Light"/>
          <w:b/>
          <w:sz w:val="20"/>
          <w:szCs w:val="20"/>
          <w:lang w:val="en-GB"/>
        </w:rPr>
        <w:t xml:space="preserve"> cell measurement for RRC reestablishment </w:t>
      </w:r>
      <w:r w:rsidR="00847E72">
        <w:rPr>
          <w:rFonts w:eastAsia="Calibri Light" w:cs="Calibri Light"/>
          <w:b/>
          <w:sz w:val="20"/>
          <w:szCs w:val="20"/>
          <w:lang w:val="en-GB"/>
        </w:rPr>
        <w:t>is supported</w:t>
      </w:r>
      <w:r w:rsidRPr="00434D8B">
        <w:rPr>
          <w:rFonts w:eastAsia="Calibri Light" w:cs="Calibri Light"/>
          <w:b/>
          <w:sz w:val="20"/>
          <w:szCs w:val="20"/>
          <w:lang w:val="en-GB"/>
        </w:rPr>
        <w:t xml:space="preserve"> in </w:t>
      </w:r>
      <w:r w:rsidR="00847E72" w:rsidRPr="00847E72">
        <w:rPr>
          <w:rFonts w:eastAsia="Calibri Light" w:cs="Calibri Light"/>
          <w:b/>
          <w:sz w:val="20"/>
          <w:szCs w:val="20"/>
          <w:lang w:val="en-GB"/>
        </w:rPr>
        <w:t>invalid UL and DL periods</w:t>
      </w:r>
      <w:r w:rsidRPr="00434D8B">
        <w:rPr>
          <w:rFonts w:eastAsia="Calibri Light" w:cs="Calibri Light"/>
          <w:b/>
          <w:sz w:val="20"/>
          <w:szCs w:val="20"/>
          <w:lang w:val="en-GB"/>
        </w:rPr>
        <w:t xml:space="preserve"> </w:t>
      </w:r>
      <w:r w:rsidR="00847E72">
        <w:rPr>
          <w:rFonts w:eastAsia="Calibri Light" w:cs="Calibri Light"/>
          <w:b/>
          <w:sz w:val="20"/>
          <w:szCs w:val="20"/>
          <w:lang w:val="en-GB"/>
        </w:rPr>
        <w:t>in IoT NTN TDD</w:t>
      </w:r>
      <w:r w:rsidRPr="00434D8B">
        <w:rPr>
          <w:rFonts w:eastAsia="Calibri Light" w:cs="Calibri Light"/>
          <w:b/>
          <w:sz w:val="20"/>
          <w:szCs w:val="20"/>
          <w:lang w:val="en-GB"/>
        </w:rPr>
        <w:t>.</w:t>
      </w:r>
    </w:p>
    <w:p w:rsidR="0053583B" w:rsidRPr="0053583B" w:rsidRDefault="0053583B" w:rsidP="0053583B">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53583B">
        <w:rPr>
          <w:rFonts w:ascii="Arial" w:eastAsia="Malgun Gothic" w:hAnsi="Arial" w:hint="eastAsia"/>
          <w:sz w:val="36"/>
          <w:lang w:eastAsia="de-DE"/>
        </w:rPr>
        <w:t>Conclusion</w:t>
      </w:r>
      <w:r w:rsidRPr="0053583B">
        <w:rPr>
          <w:rFonts w:ascii="Arial" w:eastAsia="Malgun Gothic" w:hAnsi="Arial"/>
          <w:sz w:val="36"/>
          <w:lang w:eastAsia="de-DE"/>
        </w:rPr>
        <w:t xml:space="preserve"> </w:t>
      </w:r>
    </w:p>
    <w:p w:rsidR="0053583B" w:rsidRPr="0053583B" w:rsidRDefault="0053583B" w:rsidP="0053583B">
      <w:pPr>
        <w:widowControl/>
        <w:spacing w:beforeLines="50" w:before="120" w:after="120"/>
        <w:rPr>
          <w:rFonts w:eastAsia="Calibri Light" w:cs="Calibri Light"/>
          <w:sz w:val="20"/>
          <w:szCs w:val="20"/>
          <w:lang w:val="en-GB" w:eastAsia="en-US"/>
        </w:rPr>
      </w:pPr>
      <w:r w:rsidRPr="0053583B">
        <w:rPr>
          <w:rFonts w:eastAsia="Calibri Light" w:cs="Calibri Light"/>
          <w:sz w:val="20"/>
          <w:szCs w:val="20"/>
          <w:lang w:val="en-GB" w:eastAsia="en-US"/>
        </w:rPr>
        <w:t>The observations and proposals made in this contribution are summarized below:</w:t>
      </w:r>
    </w:p>
    <w:p w:rsidR="00847E72" w:rsidRDefault="00847E72" w:rsidP="0071790D">
      <w:pPr>
        <w:widowControl/>
        <w:spacing w:beforeLines="50" w:before="120" w:after="120"/>
        <w:rPr>
          <w:rFonts w:eastAsia="Calibri Light" w:cs="Calibri Light"/>
          <w:b/>
          <w:sz w:val="20"/>
          <w:szCs w:val="20"/>
          <w:lang w:val="en-GB"/>
        </w:rPr>
      </w:pPr>
      <w:r w:rsidRPr="00434D8B">
        <w:rPr>
          <w:rFonts w:eastAsia="Calibri Light" w:cs="Calibri Light"/>
          <w:b/>
          <w:sz w:val="20"/>
          <w:szCs w:val="20"/>
          <w:lang w:val="en-GB"/>
        </w:rPr>
        <w:t xml:space="preserve">Proposal </w:t>
      </w:r>
      <w:r>
        <w:rPr>
          <w:rFonts w:eastAsia="Calibri Light" w:cs="Calibri Light"/>
          <w:b/>
          <w:sz w:val="20"/>
          <w:szCs w:val="20"/>
          <w:lang w:val="en-GB"/>
        </w:rPr>
        <w:t>1</w:t>
      </w:r>
      <w:r w:rsidR="0048743A">
        <w:rPr>
          <w:rFonts w:eastAsia="Calibri Light" w:cs="Calibri Light"/>
          <w:b/>
          <w:sz w:val="20"/>
          <w:szCs w:val="20"/>
          <w:lang w:val="en-GB"/>
        </w:rPr>
        <w:t xml:space="preserve">: </w:t>
      </w:r>
      <w:r w:rsidRPr="00E22177">
        <w:rPr>
          <w:rFonts w:eastAsia="Calibri Light" w:cs="Calibri Light"/>
          <w:b/>
          <w:sz w:val="20"/>
          <w:szCs w:val="20"/>
          <w:lang w:val="en-GB"/>
        </w:rPr>
        <w:t>RAN2 clarif</w:t>
      </w:r>
      <w:r>
        <w:rPr>
          <w:rFonts w:eastAsia="Calibri Light" w:cs="Calibri Light"/>
          <w:b/>
          <w:sz w:val="20"/>
          <w:szCs w:val="20"/>
          <w:lang w:val="en-GB"/>
        </w:rPr>
        <w:t>ies that</w:t>
      </w:r>
      <w:r w:rsidRPr="00E22177">
        <w:rPr>
          <w:rFonts w:eastAsia="Calibri Light" w:cs="Calibri Light"/>
          <w:b/>
          <w:sz w:val="20"/>
          <w:szCs w:val="20"/>
          <w:lang w:val="en-GB"/>
        </w:rPr>
        <w:t xml:space="preserve"> UE </w:t>
      </w:r>
      <w:r>
        <w:rPr>
          <w:rFonts w:eastAsia="Calibri Light" w:cs="Calibri Light"/>
          <w:b/>
          <w:sz w:val="20"/>
          <w:szCs w:val="20"/>
          <w:lang w:val="en-GB"/>
        </w:rPr>
        <w:t xml:space="preserve">should </w:t>
      </w:r>
      <w:r w:rsidRPr="00E22177">
        <w:rPr>
          <w:rFonts w:eastAsia="Calibri Light" w:cs="Calibri Light"/>
          <w:b/>
          <w:sz w:val="20"/>
          <w:szCs w:val="20"/>
          <w:lang w:val="en-GB"/>
        </w:rPr>
        <w:t xml:space="preserve">perform </w:t>
      </w:r>
      <w:r>
        <w:rPr>
          <w:rFonts w:eastAsia="Calibri Light" w:cs="Calibri Light"/>
          <w:b/>
          <w:sz w:val="20"/>
          <w:szCs w:val="20"/>
          <w:lang w:val="en-GB"/>
        </w:rPr>
        <w:t xml:space="preserve">neighbour cell </w:t>
      </w:r>
      <w:r w:rsidRPr="00E22177">
        <w:rPr>
          <w:rFonts w:eastAsia="Calibri Light" w:cs="Calibri Light"/>
          <w:b/>
          <w:sz w:val="20"/>
          <w:szCs w:val="20"/>
          <w:lang w:val="en-GB"/>
        </w:rPr>
        <w:t>measurement within</w:t>
      </w:r>
      <w:r>
        <w:rPr>
          <w:rFonts w:eastAsia="Calibri Light" w:cs="Calibri Light"/>
          <w:b/>
          <w:sz w:val="20"/>
          <w:szCs w:val="20"/>
          <w:lang w:val="en-GB"/>
        </w:rPr>
        <w:t xml:space="preserve"> the</w:t>
      </w:r>
      <w:r w:rsidRPr="00E22177">
        <w:rPr>
          <w:rFonts w:eastAsia="Calibri Light" w:cs="Calibri Light"/>
          <w:b/>
          <w:sz w:val="20"/>
          <w:szCs w:val="20"/>
          <w:lang w:val="en-GB"/>
        </w:rPr>
        <w:t xml:space="preserve"> </w:t>
      </w:r>
      <w:r w:rsidRPr="00C740C9">
        <w:rPr>
          <w:rFonts w:eastAsia="Calibri Light" w:cs="Calibri Light"/>
          <w:b/>
          <w:sz w:val="20"/>
          <w:szCs w:val="20"/>
          <w:lang w:val="en-GB"/>
        </w:rPr>
        <w:t>8.28ms</w:t>
      </w:r>
      <w:r>
        <w:rPr>
          <w:rFonts w:eastAsia="Calibri Light" w:cs="Calibri Light"/>
          <w:b/>
          <w:sz w:val="20"/>
          <w:szCs w:val="20"/>
          <w:lang w:val="en-GB"/>
        </w:rPr>
        <w:t xml:space="preserve"> duration from the start of the </w:t>
      </w:r>
      <w:r w:rsidRPr="00C740C9">
        <w:rPr>
          <w:rFonts w:eastAsia="Calibri Light" w:cs="Calibri Light"/>
          <w:b/>
          <w:sz w:val="20"/>
          <w:szCs w:val="20"/>
          <w:lang w:val="en-GB"/>
        </w:rPr>
        <w:t xml:space="preserve">valid downlink </w:t>
      </w:r>
      <w:r>
        <w:rPr>
          <w:rFonts w:eastAsia="Calibri Light" w:cs="Calibri Light"/>
          <w:b/>
          <w:sz w:val="20"/>
          <w:szCs w:val="20"/>
          <w:lang w:val="en-GB"/>
        </w:rPr>
        <w:t>duration</w:t>
      </w:r>
      <w:r w:rsidRPr="00E22177">
        <w:rPr>
          <w:rFonts w:eastAsia="Calibri Light" w:cs="Calibri Light"/>
          <w:b/>
          <w:sz w:val="20"/>
          <w:szCs w:val="20"/>
          <w:lang w:val="en-GB"/>
        </w:rPr>
        <w:t>.</w:t>
      </w:r>
    </w:p>
    <w:p w:rsidR="00847E72" w:rsidRPr="0048743A" w:rsidRDefault="00847E72" w:rsidP="0053583B">
      <w:pPr>
        <w:rPr>
          <w:u w:val="single"/>
        </w:rPr>
      </w:pPr>
      <w:r w:rsidRPr="00434D8B">
        <w:rPr>
          <w:rFonts w:eastAsia="Calibri Light" w:cs="Calibri Light"/>
          <w:b/>
          <w:sz w:val="20"/>
          <w:szCs w:val="20"/>
          <w:lang w:val="en-GB"/>
        </w:rPr>
        <w:t xml:space="preserve">Proposal </w:t>
      </w:r>
      <w:r>
        <w:rPr>
          <w:rFonts w:eastAsia="Calibri Light" w:cs="Calibri Light"/>
          <w:b/>
          <w:sz w:val="20"/>
          <w:szCs w:val="20"/>
          <w:lang w:val="en-GB"/>
        </w:rPr>
        <w:t>2</w:t>
      </w:r>
      <w:r w:rsidRPr="00434D8B">
        <w:rPr>
          <w:rFonts w:eastAsia="Calibri Light" w:cs="Calibri Light"/>
          <w:b/>
          <w:sz w:val="20"/>
          <w:szCs w:val="20"/>
          <w:lang w:val="en-GB"/>
        </w:rPr>
        <w:t xml:space="preserve">: RAN2 </w:t>
      </w:r>
      <w:r>
        <w:rPr>
          <w:rFonts w:eastAsia="Calibri Light" w:cs="Calibri Light"/>
          <w:b/>
          <w:sz w:val="20"/>
          <w:szCs w:val="20"/>
          <w:lang w:val="en-GB"/>
        </w:rPr>
        <w:t>clarifies</w:t>
      </w:r>
      <w:r w:rsidRPr="00434D8B">
        <w:rPr>
          <w:rFonts w:eastAsia="Calibri Light" w:cs="Calibri Light"/>
          <w:b/>
          <w:sz w:val="20"/>
          <w:szCs w:val="20"/>
          <w:lang w:val="en-GB"/>
        </w:rPr>
        <w:t xml:space="preserve"> that inter-frequency </w:t>
      </w:r>
      <w:r w:rsidR="0048743A" w:rsidRPr="00434D8B">
        <w:rPr>
          <w:rFonts w:eastAsia="Calibri Light" w:cs="Calibri Light"/>
          <w:b/>
          <w:sz w:val="20"/>
          <w:szCs w:val="20"/>
          <w:lang w:val="en-GB"/>
        </w:rPr>
        <w:t>neighbour</w:t>
      </w:r>
      <w:r w:rsidRPr="00434D8B">
        <w:rPr>
          <w:rFonts w:eastAsia="Calibri Light" w:cs="Calibri Light"/>
          <w:b/>
          <w:sz w:val="20"/>
          <w:szCs w:val="20"/>
          <w:lang w:val="en-GB"/>
        </w:rPr>
        <w:t xml:space="preserve"> cell measurement for RRC reestablishment </w:t>
      </w:r>
      <w:r>
        <w:rPr>
          <w:rFonts w:eastAsia="Calibri Light" w:cs="Calibri Light"/>
          <w:b/>
          <w:sz w:val="20"/>
          <w:szCs w:val="20"/>
          <w:lang w:val="en-GB"/>
        </w:rPr>
        <w:t>is supported</w:t>
      </w:r>
      <w:r w:rsidRPr="00434D8B">
        <w:rPr>
          <w:rFonts w:eastAsia="Calibri Light" w:cs="Calibri Light"/>
          <w:b/>
          <w:sz w:val="20"/>
          <w:szCs w:val="20"/>
          <w:lang w:val="en-GB"/>
        </w:rPr>
        <w:t xml:space="preserve"> in </w:t>
      </w:r>
      <w:r w:rsidRPr="00847E72">
        <w:rPr>
          <w:rFonts w:eastAsia="Calibri Light" w:cs="Calibri Light"/>
          <w:b/>
          <w:sz w:val="20"/>
          <w:szCs w:val="20"/>
          <w:lang w:val="en-GB"/>
        </w:rPr>
        <w:t>invalid UL and DL periods</w:t>
      </w:r>
      <w:r w:rsidRPr="00434D8B">
        <w:rPr>
          <w:rFonts w:eastAsia="Calibri Light" w:cs="Calibri Light"/>
          <w:b/>
          <w:sz w:val="20"/>
          <w:szCs w:val="20"/>
          <w:lang w:val="en-GB"/>
        </w:rPr>
        <w:t xml:space="preserve"> </w:t>
      </w:r>
      <w:r>
        <w:rPr>
          <w:rFonts w:eastAsia="Calibri Light" w:cs="Calibri Light"/>
          <w:b/>
          <w:sz w:val="20"/>
          <w:szCs w:val="20"/>
          <w:lang w:val="en-GB"/>
        </w:rPr>
        <w:t>in IoT NTN TDD</w:t>
      </w:r>
      <w:r w:rsidRPr="00434D8B">
        <w:rPr>
          <w:rFonts w:eastAsia="Calibri Light" w:cs="Calibri Light"/>
          <w:b/>
          <w:sz w:val="20"/>
          <w:szCs w:val="20"/>
          <w:lang w:val="en-GB"/>
        </w:rPr>
        <w:t>.</w:t>
      </w:r>
    </w:p>
    <w:bookmarkEnd w:id="6"/>
    <w:bookmarkEnd w:id="7"/>
    <w:bookmarkEnd w:id="8"/>
    <w:p w:rsidR="002104EE" w:rsidRPr="002104EE" w:rsidRDefault="002104EE" w:rsidP="002104EE">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r>
      <w:r w:rsidRPr="002104EE">
        <w:rPr>
          <w:rFonts w:ascii="Arial" w:eastAsia="Malgun Gothic" w:hAnsi="Arial"/>
          <w:sz w:val="36"/>
          <w:lang w:eastAsia="de-DE"/>
        </w:rPr>
        <w:t>References</w:t>
      </w:r>
    </w:p>
    <w:p w:rsidR="002104EE" w:rsidRPr="002104EE" w:rsidRDefault="002104EE" w:rsidP="002104EE">
      <w:pPr>
        <w:pStyle w:val="References0"/>
        <w:widowControl/>
        <w:numPr>
          <w:ilvl w:val="0"/>
          <w:numId w:val="15"/>
        </w:numPr>
        <w:tabs>
          <w:tab w:val="num" w:pos="360"/>
        </w:tabs>
        <w:rPr>
          <w:sz w:val="20"/>
        </w:rPr>
      </w:pPr>
      <w:r w:rsidRPr="002104EE">
        <w:rPr>
          <w:sz w:val="20"/>
        </w:rPr>
        <w:t>RP-242415, New WID on introduction of IoT-NTN TDD mode</w:t>
      </w:r>
    </w:p>
    <w:p w:rsidR="002104EE" w:rsidRPr="002104EE" w:rsidRDefault="002104EE" w:rsidP="002104EE">
      <w:pPr>
        <w:pStyle w:val="References0"/>
        <w:widowControl/>
        <w:numPr>
          <w:ilvl w:val="0"/>
          <w:numId w:val="15"/>
        </w:numPr>
        <w:tabs>
          <w:tab w:val="num" w:pos="360"/>
        </w:tabs>
        <w:rPr>
          <w:sz w:val="20"/>
        </w:rPr>
      </w:pPr>
      <w:r w:rsidRPr="002104EE">
        <w:rPr>
          <w:sz w:val="20"/>
        </w:rPr>
        <w:t>Chair notes RAN1#119 eom1</w:t>
      </w:r>
    </w:p>
    <w:p w:rsidR="002104EE" w:rsidRPr="002104EE" w:rsidRDefault="002104EE" w:rsidP="0053583B">
      <w:pPr>
        <w:spacing w:before="100" w:beforeAutospacing="1" w:after="100" w:afterAutospacing="1"/>
        <w:rPr>
          <w:sz w:val="22"/>
        </w:rPr>
      </w:pPr>
    </w:p>
    <w:sectPr w:rsidR="002104EE" w:rsidRPr="002104E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376" w:rsidRDefault="00EA7376">
      <w:r>
        <w:separator/>
      </w:r>
    </w:p>
  </w:endnote>
  <w:endnote w:type="continuationSeparator" w:id="0">
    <w:p w:rsidR="00EA7376" w:rsidRDefault="00EA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376" w:rsidRDefault="00EA7376">
      <w:r>
        <w:separator/>
      </w:r>
    </w:p>
  </w:footnote>
  <w:footnote w:type="continuationSeparator" w:id="0">
    <w:p w:rsidR="00EA7376" w:rsidRDefault="00EA7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0A9" w:rsidRDefault="004E20A7">
    <w:r>
      <w:t xml:space="preserve">Page </w:t>
    </w:r>
    <w:r>
      <w:fldChar w:fldCharType="begin"/>
    </w:r>
    <w:r>
      <w:instrText>PAGE</w:instrText>
    </w:r>
    <w:r>
      <w:fldChar w:fldCharType="separate"/>
    </w:r>
    <w:r>
      <w:t>4</w:t>
    </w:r>
    <w:r>
      <w:fldChar w:fldCharType="end"/>
    </w:r>
    <w:r>
      <w:br/>
      <w:t>Draft prETS 300 ???: Month YYYY</w:t>
    </w:r>
  </w:p>
  <w:p w:rsidR="00A550A9" w:rsidRDefault="00A550A9"/>
  <w:p w:rsidR="00A550A9" w:rsidRDefault="00A550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5"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18"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2963C95"/>
    <w:multiLevelType w:val="hybridMultilevel"/>
    <w:tmpl w:val="AF363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13"/>
  </w:num>
  <w:num w:numId="3">
    <w:abstractNumId w:val="28"/>
  </w:num>
  <w:num w:numId="4">
    <w:abstractNumId w:val="12"/>
  </w:num>
  <w:num w:numId="5">
    <w:abstractNumId w:val="19"/>
  </w:num>
  <w:num w:numId="6">
    <w:abstractNumId w:val="23"/>
  </w:num>
  <w:num w:numId="7">
    <w:abstractNumId w:val="10"/>
  </w:num>
  <w:num w:numId="8">
    <w:abstractNumId w:val="5"/>
  </w:num>
  <w:num w:numId="9">
    <w:abstractNumId w:val="24"/>
  </w:num>
  <w:num w:numId="10">
    <w:abstractNumId w:val="27"/>
    <w:lvlOverride w:ilvl="0">
      <w:startOverride w:val="1"/>
    </w:lvlOverride>
  </w:num>
  <w:num w:numId="11">
    <w:abstractNumId w:val="22"/>
  </w:num>
  <w:num w:numId="12">
    <w:abstractNumId w:val="32"/>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8"/>
  </w:num>
  <w:num w:numId="15">
    <w:abstractNumId w:val="18"/>
  </w:num>
  <w:num w:numId="16">
    <w:abstractNumId w:val="31"/>
  </w:num>
  <w:num w:numId="17">
    <w:abstractNumId w:val="17"/>
  </w:num>
  <w:num w:numId="18">
    <w:abstractNumId w:val="6"/>
  </w:num>
  <w:num w:numId="19">
    <w:abstractNumId w:val="0"/>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0"/>
  </w:num>
  <w:num w:numId="24">
    <w:abstractNumId w:val="15"/>
  </w:num>
  <w:num w:numId="25">
    <w:abstractNumId w:val="33"/>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4"/>
  </w:num>
  <w:num w:numId="30">
    <w:abstractNumId w:val="16"/>
  </w:num>
  <w:num w:numId="31">
    <w:abstractNumId w:val="3"/>
  </w:num>
  <w:num w:numId="32">
    <w:abstractNumId w:val="11"/>
  </w:num>
  <w:num w:numId="33">
    <w:abstractNumId w:val="26"/>
  </w:num>
  <w:num w:numId="34">
    <w:abstractNumId w:val="34"/>
  </w:num>
  <w:num w:numId="35">
    <w:abstractNumId w:val="4"/>
  </w:num>
  <w:num w:numId="36">
    <w:abstractNumId w:val="30"/>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89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82"/>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4EE"/>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0D"/>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5AD"/>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2B"/>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D8B"/>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3A"/>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0A7"/>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56D"/>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83B"/>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2FE"/>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6F2"/>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2BE"/>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90D"/>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98E"/>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2B4"/>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99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47E72"/>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44D"/>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6E8"/>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CB8"/>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0A9"/>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590"/>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0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CA6"/>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65B"/>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E51"/>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3B"/>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0C9"/>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FAF"/>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350"/>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8B6"/>
    <w:rsid w:val="00CF5DA4"/>
    <w:rsid w:val="00CF5DF1"/>
    <w:rsid w:val="00CF5E65"/>
    <w:rsid w:val="00CF5EFB"/>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BDA"/>
    <w:rsid w:val="00DE0E80"/>
    <w:rsid w:val="00DE1360"/>
    <w:rsid w:val="00DE1A72"/>
    <w:rsid w:val="00DE1ABB"/>
    <w:rsid w:val="00DE1AE1"/>
    <w:rsid w:val="00DE1C86"/>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BB3"/>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177"/>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33E"/>
    <w:rsid w:val="00E623DA"/>
    <w:rsid w:val="00E626F6"/>
    <w:rsid w:val="00E63435"/>
    <w:rsid w:val="00E63450"/>
    <w:rsid w:val="00E634E2"/>
    <w:rsid w:val="00E63584"/>
    <w:rsid w:val="00E636E8"/>
    <w:rsid w:val="00E63727"/>
    <w:rsid w:val="00E63FB0"/>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376"/>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3F5"/>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650"/>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7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369"/>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149"/>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2109737B-D0DD-436A-A544-A16071F8E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743A"/>
    <w:pPr>
      <w:widowControl w:val="0"/>
      <w:autoSpaceDE w:val="0"/>
      <w:autoSpaceDN w:val="0"/>
      <w:adjustRightInd w:val="0"/>
      <w:spacing w:line="360" w:lineRule="auto"/>
    </w:pPr>
    <w:rPr>
      <w:snapToGrid w:val="0"/>
      <w:sz w:val="21"/>
      <w:szCs w:val="21"/>
    </w:rPr>
  </w:style>
  <w:style w:type="paragraph" w:styleId="1">
    <w:name w:val="heading 1"/>
    <w:next w:val="2"/>
    <w:link w:val="1Char"/>
    <w:qFormat/>
    <w:rsid w:val="0048743A"/>
    <w:pPr>
      <w:keepNext/>
      <w:numPr>
        <w:numId w:val="36"/>
      </w:numPr>
      <w:spacing w:before="240" w:after="240"/>
      <w:jc w:val="both"/>
      <w:outlineLvl w:val="0"/>
    </w:pPr>
    <w:rPr>
      <w:rFonts w:ascii="Arial" w:eastAsia="黑体" w:hAnsi="Arial"/>
      <w:b/>
      <w:sz w:val="32"/>
      <w:szCs w:val="32"/>
    </w:rPr>
  </w:style>
  <w:style w:type="paragraph" w:styleId="2">
    <w:name w:val="heading 2"/>
    <w:next w:val="a2"/>
    <w:link w:val="2Char"/>
    <w:qFormat/>
    <w:rsid w:val="0048743A"/>
    <w:pPr>
      <w:keepNext/>
      <w:numPr>
        <w:ilvl w:val="1"/>
        <w:numId w:val="36"/>
      </w:numPr>
      <w:spacing w:before="240" w:after="240"/>
      <w:jc w:val="both"/>
      <w:outlineLvl w:val="1"/>
    </w:pPr>
    <w:rPr>
      <w:rFonts w:ascii="Arial" w:eastAsia="黑体" w:hAnsi="Arial"/>
      <w:sz w:val="24"/>
      <w:szCs w:val="24"/>
    </w:rPr>
  </w:style>
  <w:style w:type="paragraph" w:styleId="30">
    <w:name w:val="heading 3"/>
    <w:basedOn w:val="a2"/>
    <w:next w:val="a2"/>
    <w:link w:val="3Char"/>
    <w:qFormat/>
    <w:rsid w:val="0048743A"/>
    <w:pPr>
      <w:keepNext/>
      <w:keepLines/>
      <w:numPr>
        <w:ilvl w:val="2"/>
        <w:numId w:val="36"/>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0"/>
    <w:next w:val="a2"/>
    <w:link w:val="4Char"/>
    <w:qFormat/>
    <w:pPr>
      <w:numPr>
        <w:ilvl w:val="3"/>
        <w:numId w:val="1"/>
      </w:numPr>
      <w:outlineLvl w:val="3"/>
    </w:pPr>
    <w:rPr>
      <w:szCs w:val="24"/>
    </w:rPr>
  </w:style>
  <w:style w:type="paragraph" w:styleId="5">
    <w:name w:val="heading 5"/>
    <w:basedOn w:val="4"/>
    <w:next w:val="a2"/>
    <w:qFormat/>
    <w:pPr>
      <w:numPr>
        <w:ilvl w:val="4"/>
      </w:numPr>
      <w:outlineLvl w:val="4"/>
    </w:pPr>
    <w:rPr>
      <w:sz w:val="22"/>
      <w:szCs w:val="22"/>
    </w:rPr>
  </w:style>
  <w:style w:type="paragraph" w:styleId="6">
    <w:name w:val="heading 6"/>
    <w:basedOn w:val="a2"/>
    <w:next w:val="a2"/>
    <w:qFormat/>
    <w:pPr>
      <w:keepNext/>
      <w:keepLines/>
      <w:numPr>
        <w:ilvl w:val="5"/>
        <w:numId w:val="1"/>
      </w:numPr>
      <w:spacing w:before="120"/>
      <w:outlineLvl w:val="5"/>
    </w:pPr>
    <w:rPr>
      <w:rFonts w:cs="Arial"/>
    </w:rPr>
  </w:style>
  <w:style w:type="paragraph" w:styleId="7">
    <w:name w:val="heading 7"/>
    <w:basedOn w:val="a2"/>
    <w:next w:val="a2"/>
    <w:qFormat/>
    <w:pPr>
      <w:keepNext/>
      <w:keepLines/>
      <w:numPr>
        <w:ilvl w:val="6"/>
        <w:numId w:val="1"/>
      </w:numPr>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48743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8743A"/>
  </w:style>
  <w:style w:type="paragraph" w:styleId="31">
    <w:name w:val="List 3"/>
    <w:basedOn w:val="20"/>
    <w:pPr>
      <w:ind w:left="1135"/>
    </w:pPr>
  </w:style>
  <w:style w:type="paragraph" w:styleId="20">
    <w:name w:val="List 2"/>
    <w:basedOn w:val="a6"/>
    <w:qFormat/>
    <w:pPr>
      <w:ind w:left="851"/>
    </w:pPr>
  </w:style>
  <w:style w:type="paragraph" w:styleId="a6">
    <w:name w:val="List"/>
    <w:basedOn w:val="a2"/>
    <w:pPr>
      <w:ind w:left="568" w:hanging="284"/>
    </w:pPr>
  </w:style>
  <w:style w:type="paragraph" w:styleId="70">
    <w:name w:val="toc 7"/>
    <w:basedOn w:val="60"/>
    <w:next w:val="a2"/>
    <w:semiHidden/>
    <w:qFormat/>
    <w:pPr>
      <w:ind w:left="2268" w:hanging="2268"/>
    </w:pPr>
  </w:style>
  <w:style w:type="paragraph" w:styleId="60">
    <w:name w:val="toc 6"/>
    <w:basedOn w:val="51"/>
    <w:next w:val="a2"/>
    <w:semiHidden/>
    <w:qFormat/>
    <w:pPr>
      <w:ind w:left="1985" w:hanging="1985"/>
    </w:pPr>
  </w:style>
  <w:style w:type="paragraph" w:styleId="51">
    <w:name w:val="toc 5"/>
    <w:basedOn w:val="42"/>
    <w:next w:val="a2"/>
    <w:semiHidden/>
    <w:pPr>
      <w:ind w:left="1701" w:hanging="1701"/>
    </w:pPr>
  </w:style>
  <w:style w:type="paragraph" w:styleId="42">
    <w:name w:val="toc 4"/>
    <w:basedOn w:val="32"/>
    <w:next w:val="a2"/>
    <w:semiHidden/>
    <w:pPr>
      <w:ind w:left="1418" w:hanging="1418"/>
    </w:pPr>
  </w:style>
  <w:style w:type="paragraph" w:styleId="32">
    <w:name w:val="toc 3"/>
    <w:basedOn w:val="21"/>
    <w:next w:val="a2"/>
    <w:semiHidden/>
    <w:pPr>
      <w:ind w:left="1134" w:hanging="1134"/>
    </w:pPr>
  </w:style>
  <w:style w:type="paragraph" w:styleId="21">
    <w:name w:val="toc 2"/>
    <w:basedOn w:val="10"/>
    <w:next w:val="a2"/>
    <w:semiHidden/>
    <w:pPr>
      <w:keepNext w:val="0"/>
      <w:spacing w:before="0"/>
      <w:ind w:left="851" w:hanging="851"/>
    </w:pPr>
    <w:rPr>
      <w:sz w:val="20"/>
      <w:szCs w:val="20"/>
    </w:rPr>
  </w:style>
  <w:style w:type="paragraph" w:styleId="10">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1">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4"/>
      </w:numPr>
    </w:pPr>
  </w:style>
  <w:style w:type="paragraph" w:styleId="a8">
    <w:name w:val="Body Text"/>
    <w:basedOn w:val="a2"/>
    <w:link w:val="Char"/>
    <w:qFormat/>
    <w:rPr>
      <w:rFonts w:eastAsia="Malgun Gothic"/>
    </w:rPr>
  </w:style>
  <w:style w:type="paragraph" w:styleId="a9">
    <w:name w:val="caption"/>
    <w:basedOn w:val="a2"/>
    <w:next w:val="a2"/>
    <w:link w:val="Char0"/>
    <w:qFormat/>
    <w:pPr>
      <w:spacing w:after="240"/>
      <w:jc w:val="center"/>
    </w:pPr>
    <w:rPr>
      <w:b/>
      <w:bCs/>
      <w:lang w:val="zh-CN"/>
    </w:rPr>
  </w:style>
  <w:style w:type="paragraph" w:styleId="aa">
    <w:name w:val="Document Map"/>
    <w:basedOn w:val="a2"/>
    <w:semiHidden/>
    <w:pPr>
      <w:shd w:val="clear" w:color="auto" w:fill="000080"/>
    </w:pPr>
    <w:rPr>
      <w:rFonts w:ascii="Tahoma" w:hAnsi="Tahoma" w:cs="Tahoma"/>
    </w:rPr>
  </w:style>
  <w:style w:type="paragraph" w:styleId="ab">
    <w:name w:val="annotation text"/>
    <w:basedOn w:val="a2"/>
    <w:link w:val="Char1"/>
    <w:qFormat/>
    <w:rPr>
      <w:lang w:val="zh-CN"/>
    </w:rPr>
  </w:style>
  <w:style w:type="paragraph" w:styleId="50">
    <w:name w:val="List Bullet 5"/>
    <w:basedOn w:val="41"/>
    <w:pPr>
      <w:numPr>
        <w:numId w:val="5"/>
      </w:numPr>
    </w:pPr>
  </w:style>
  <w:style w:type="paragraph" w:styleId="80">
    <w:name w:val="toc 8"/>
    <w:basedOn w:val="10"/>
    <w:next w:val="a2"/>
    <w:semiHidden/>
    <w:pPr>
      <w:spacing w:before="180"/>
      <w:ind w:left="2693" w:hanging="2693"/>
    </w:pPr>
    <w:rPr>
      <w:b/>
      <w:bCs/>
    </w:rPr>
  </w:style>
  <w:style w:type="paragraph" w:styleId="ac">
    <w:name w:val="Balloon Text"/>
    <w:basedOn w:val="a2"/>
    <w:link w:val="Char2"/>
    <w:rsid w:val="0048743A"/>
    <w:pPr>
      <w:spacing w:line="240" w:lineRule="auto"/>
    </w:pPr>
    <w:rPr>
      <w:sz w:val="18"/>
      <w:szCs w:val="18"/>
    </w:rPr>
  </w:style>
  <w:style w:type="paragraph" w:styleId="ad">
    <w:name w:val="footer"/>
    <w:rsid w:val="0048743A"/>
    <w:pPr>
      <w:tabs>
        <w:tab w:val="center" w:pos="4510"/>
        <w:tab w:val="right" w:pos="9020"/>
      </w:tabs>
    </w:pPr>
    <w:rPr>
      <w:rFonts w:ascii="Arial" w:hAnsi="Arial"/>
      <w:sz w:val="18"/>
      <w:szCs w:val="18"/>
    </w:rPr>
  </w:style>
  <w:style w:type="paragraph" w:styleId="ae">
    <w:name w:val="header"/>
    <w:link w:val="Char3"/>
    <w:rsid w:val="0048743A"/>
    <w:pPr>
      <w:tabs>
        <w:tab w:val="center" w:pos="4153"/>
        <w:tab w:val="right" w:pos="8306"/>
      </w:tabs>
      <w:snapToGrid w:val="0"/>
      <w:jc w:val="both"/>
    </w:pPr>
    <w:rPr>
      <w:rFonts w:ascii="Arial" w:hAnsi="Arial"/>
      <w:sz w:val="18"/>
      <w:szCs w:val="18"/>
    </w:rPr>
  </w:style>
  <w:style w:type="paragraph" w:styleId="af">
    <w:name w:val="footnote text"/>
    <w:basedOn w:val="a2"/>
    <w:semiHidden/>
    <w:pPr>
      <w:keepLines/>
      <w:ind w:left="454" w:hanging="454"/>
    </w:pPr>
    <w:rPr>
      <w:sz w:val="16"/>
      <w:szCs w:val="16"/>
    </w:rPr>
  </w:style>
  <w:style w:type="paragraph" w:styleId="52">
    <w:name w:val="List 5"/>
    <w:basedOn w:val="43"/>
    <w:pPr>
      <w:ind w:left="1702"/>
    </w:pPr>
  </w:style>
  <w:style w:type="paragraph" w:styleId="43">
    <w:name w:val="List 4"/>
    <w:basedOn w:val="31"/>
    <w:pPr>
      <w:ind w:left="1418"/>
    </w:pPr>
  </w:style>
  <w:style w:type="paragraph" w:styleId="af0">
    <w:name w:val="table of figures"/>
    <w:basedOn w:val="a2"/>
    <w:next w:val="a2"/>
    <w:pPr>
      <w:ind w:left="1418" w:hanging="1418"/>
    </w:pPr>
    <w:rPr>
      <w:b/>
    </w:rPr>
  </w:style>
  <w:style w:type="paragraph" w:styleId="90">
    <w:name w:val="toc 9"/>
    <w:basedOn w:val="80"/>
    <w:next w:val="a2"/>
    <w:semiHidden/>
    <w:qFormat/>
    <w:pPr>
      <w:ind w:left="1418" w:hanging="1418"/>
    </w:pPr>
  </w:style>
  <w:style w:type="paragraph" w:styleId="24">
    <w:name w:val="Body Text 2"/>
    <w:basedOn w:val="a2"/>
    <w:link w:val="2Char0"/>
    <w:rPr>
      <w:b/>
    </w:rPr>
  </w:style>
  <w:style w:type="paragraph" w:styleId="af1">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5">
    <w:name w:val="index 2"/>
    <w:basedOn w:val="11"/>
    <w:next w:val="a2"/>
    <w:semiHidden/>
    <w:pPr>
      <w:ind w:left="284"/>
    </w:pPr>
  </w:style>
  <w:style w:type="paragraph" w:styleId="af2">
    <w:name w:val="annotation subject"/>
    <w:basedOn w:val="ab"/>
    <w:next w:val="ab"/>
    <w:link w:val="Char4"/>
    <w:semiHidden/>
    <w:rPr>
      <w:b/>
      <w:bCs/>
    </w:rPr>
  </w:style>
  <w:style w:type="table" w:styleId="af3">
    <w:name w:val="Table Grid"/>
    <w:aliases w:val="TableGrid,ST Table,Check(v),Table-Text,x Tableau page de garde"/>
    <w:basedOn w:val="a4"/>
    <w:rsid w:val="0048743A"/>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semiHidden/>
    <w:qFormat/>
  </w:style>
  <w:style w:type="character" w:styleId="af6">
    <w:name w:val="FollowedHyperlink"/>
    <w:semiHidden/>
    <w:rPr>
      <w:color w:val="FF0000"/>
      <w:u w:val="single"/>
    </w:rPr>
  </w:style>
  <w:style w:type="character" w:styleId="af7">
    <w:name w:val="Emphasis"/>
    <w:uiPriority w:val="20"/>
    <w:qFormat/>
    <w:rPr>
      <w:i/>
      <w:iCs/>
    </w:rPr>
  </w:style>
  <w:style w:type="character" w:styleId="af8">
    <w:name w:val="Hyperlink"/>
    <w:rPr>
      <w:color w:val="0000FF"/>
      <w:u w:val="single"/>
    </w:rPr>
  </w:style>
  <w:style w:type="character" w:styleId="af9">
    <w:name w:val="annotation reference"/>
    <w:basedOn w:val="a3"/>
    <w:qFormat/>
    <w:rPr>
      <w:sz w:val="16"/>
      <w:szCs w:val="16"/>
    </w:rPr>
  </w:style>
  <w:style w:type="character" w:styleId="afa">
    <w:name w:val="footnote reference"/>
    <w:semiHidden/>
    <w:rPr>
      <w:b/>
      <w:bCs/>
      <w:position w:val="6"/>
      <w:sz w:val="16"/>
      <w:szCs w:val="16"/>
    </w:rPr>
  </w:style>
  <w:style w:type="paragraph" w:customStyle="1" w:styleId="Figure">
    <w:name w:val="Figure"/>
    <w:basedOn w:val="a2"/>
    <w:next w:val="a9"/>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6"/>
      </w:numPr>
    </w:pPr>
  </w:style>
  <w:style w:type="character" w:customStyle="1" w:styleId="1Char">
    <w:name w:val="标题 1 Char"/>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0"/>
    <w:link w:val="B2Char"/>
    <w:qFormat/>
    <w:rPr>
      <w:rFonts w:eastAsia="Malgun Gothic"/>
      <w:lang w:eastAsia="en-US"/>
    </w:rPr>
  </w:style>
  <w:style w:type="paragraph" w:customStyle="1" w:styleId="B3">
    <w:name w:val="B3"/>
    <w:basedOn w:val="31"/>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7"/>
      </w:numPr>
    </w:pPr>
    <w:rPr>
      <w:rFonts w:eastAsia="Malgun Gothic"/>
      <w:b/>
      <w:bCs/>
      <w:lang w:val="zh-CN"/>
    </w:rPr>
  </w:style>
  <w:style w:type="character" w:customStyle="1" w:styleId="Char">
    <w:name w:val="正文文本 Char"/>
    <w:link w:val="a8"/>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0">
    <w:name w:val="标题4"/>
    <w:basedOn w:val="a2"/>
    <w:pPr>
      <w:numPr>
        <w:numId w:val="8"/>
      </w:numPr>
    </w:pPr>
  </w:style>
  <w:style w:type="paragraph" w:customStyle="1" w:styleId="afb">
    <w:name w:val="表格文本"/>
    <w:rsid w:val="0048743A"/>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c">
    <w:name w:val="图表标题"/>
    <w:basedOn w:val="a2"/>
    <w:next w:val="a2"/>
    <w:pPr>
      <w:spacing w:before="60" w:after="60"/>
      <w:jc w:val="center"/>
    </w:pPr>
    <w:rPr>
      <w:rFonts w:eastAsia="Batang" w:cs="宋体"/>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a2"/>
    <w:link w:val="Char5"/>
    <w:uiPriority w:val="34"/>
    <w:qFormat/>
    <w:rsid w:val="0048743A"/>
    <w:pPr>
      <w:ind w:firstLineChars="200" w:firstLine="420"/>
    </w:pPr>
  </w:style>
  <w:style w:type="character" w:customStyle="1" w:styleId="NOCar">
    <w:name w:val="NO Car"/>
    <w:rPr>
      <w:rFonts w:eastAsia="MS Mincho"/>
      <w:sz w:val="24"/>
      <w:szCs w:val="24"/>
      <w:lang w:val="en-GB" w:eastAsia="ja-JP" w:bidi="ar-SA"/>
    </w:rPr>
  </w:style>
  <w:style w:type="character" w:customStyle="1" w:styleId="Char0">
    <w:name w:val="题注 Char"/>
    <w:link w:val="a9"/>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1"/>
      </w:numPr>
    </w:pPr>
    <w:rPr>
      <w:lang w:val="zh-CN"/>
    </w:rPr>
  </w:style>
  <w:style w:type="paragraph" w:customStyle="1" w:styleId="Recommend-2">
    <w:name w:val="Recommend-2"/>
    <w:basedOn w:val="a2"/>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Char1">
    <w:name w:val="批注文字 Char"/>
    <w:link w:val="ab"/>
    <w:qFormat/>
    <w:rPr>
      <w:rFonts w:ascii="Arial" w:eastAsia="宋体" w:hAnsi="Arial"/>
    </w:rPr>
  </w:style>
  <w:style w:type="paragraph" w:customStyle="1" w:styleId="Agreement">
    <w:name w:val="Agreement"/>
    <w:basedOn w:val="a2"/>
    <w:next w:val="a2"/>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d"/>
    <w:uiPriority w:val="34"/>
    <w:qFormat/>
    <w:locked/>
    <w:rPr>
      <w:snapToGrid w:val="0"/>
      <w:sz w:val="21"/>
      <w:szCs w:val="21"/>
    </w:rPr>
  </w:style>
  <w:style w:type="paragraph" w:customStyle="1" w:styleId="a0">
    <w:name w:val="插图题注"/>
    <w:next w:val="a2"/>
    <w:rsid w:val="0048743A"/>
    <w:pPr>
      <w:numPr>
        <w:ilvl w:val="7"/>
        <w:numId w:val="27"/>
      </w:numPr>
      <w:spacing w:afterLines="100"/>
      <w:ind w:left="1089" w:hanging="369"/>
      <w:jc w:val="center"/>
    </w:pPr>
    <w:rPr>
      <w:rFonts w:ascii="Arial" w:hAnsi="Arial"/>
      <w:sz w:val="18"/>
      <w:szCs w:val="18"/>
    </w:rPr>
  </w:style>
  <w:style w:type="paragraph" w:customStyle="1" w:styleId="a1">
    <w:name w:val="表格题注"/>
    <w:next w:val="a2"/>
    <w:rsid w:val="0048743A"/>
    <w:pPr>
      <w:keepLines/>
      <w:numPr>
        <w:ilvl w:val="8"/>
        <w:numId w:val="2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Char3">
    <w:name w:val="页眉 Char"/>
    <w:link w:val="ae"/>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0">
    <w:name w:val="References"/>
    <w:basedOn w:val="a2"/>
    <w:pPr>
      <w:tabs>
        <w:tab w:val="left" w:pos="360"/>
      </w:tabs>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Char0">
    <w:name w:val="正文文本 2 Char"/>
    <w:link w:val="24"/>
    <w:rPr>
      <w:rFonts w:ascii="Arial" w:eastAsia="宋体" w:hAnsi="Arial"/>
      <w:b/>
    </w:rPr>
  </w:style>
  <w:style w:type="character" w:customStyle="1" w:styleId="Char4">
    <w:name w:val="批注主题 Char"/>
    <w:link w:val="af2"/>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Char">
    <w:name w:val="标题 2 Char"/>
    <w:basedOn w:val="a3"/>
    <w:link w:val="2"/>
    <w:rPr>
      <w:rFonts w:ascii="Arial" w:eastAsia="黑体" w:hAnsi="Arial"/>
      <w:sz w:val="24"/>
      <w:szCs w:val="24"/>
    </w:rPr>
  </w:style>
  <w:style w:type="character" w:customStyle="1" w:styleId="3Char">
    <w:name w:val="标题 3 Char"/>
    <w:basedOn w:val="a3"/>
    <w:link w:val="30"/>
    <w:rPr>
      <w:rFonts w:eastAsia="黑体"/>
      <w:bCs/>
      <w:snapToGrid w:val="0"/>
      <w:kern w:val="2"/>
      <w:sz w:val="24"/>
      <w:szCs w:val="32"/>
    </w:rPr>
  </w:style>
  <w:style w:type="character" w:customStyle="1" w:styleId="eop">
    <w:name w:val="eop"/>
    <w:basedOn w:val="a3"/>
  </w:style>
  <w:style w:type="character" w:customStyle="1" w:styleId="Char10">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Char">
    <w:name w:val="标题 4 Char"/>
    <w:basedOn w:val="a3"/>
    <w:link w:val="4"/>
    <w:rPr>
      <w:rFonts w:ascii="Arial" w:hAnsi="Arial"/>
      <w:sz w:val="24"/>
      <w:szCs w:val="24"/>
      <w:lang w:val="en-GB"/>
    </w:rPr>
  </w:style>
  <w:style w:type="table" w:customStyle="1" w:styleId="xTableaupagedegarde1">
    <w:name w:val="x Tableau page de garde1"/>
    <w:basedOn w:val="a4"/>
    <w:next w:val="af3"/>
    <w:uiPriority w:val="39"/>
    <w:qFormat/>
    <w:rsid w:val="00E63FB0"/>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4"/>
    <w:next w:val="af3"/>
    <w:uiPriority w:val="39"/>
    <w:qFormat/>
    <w:rsid w:val="0053583B"/>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rsid w:val="0048743A"/>
    <w:pPr>
      <w:jc w:val="center"/>
    </w:pPr>
    <w:rPr>
      <w:rFonts w:ascii="Arial" w:hAnsi="Arial"/>
      <w:b/>
      <w:sz w:val="21"/>
      <w:szCs w:val="21"/>
    </w:rPr>
  </w:style>
  <w:style w:type="table" w:customStyle="1" w:styleId="aff">
    <w:name w:val="表样式"/>
    <w:basedOn w:val="a4"/>
    <w:rsid w:val="0048743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0">
    <w:name w:val="图样式"/>
    <w:basedOn w:val="a2"/>
    <w:rsid w:val="0048743A"/>
    <w:pPr>
      <w:keepNext/>
      <w:widowControl/>
      <w:spacing w:before="80" w:after="80"/>
      <w:jc w:val="center"/>
    </w:pPr>
  </w:style>
  <w:style w:type="paragraph" w:customStyle="1" w:styleId="aff1">
    <w:name w:val="文档标题"/>
    <w:basedOn w:val="a2"/>
    <w:rsid w:val="0048743A"/>
    <w:pPr>
      <w:tabs>
        <w:tab w:val="left" w:pos="0"/>
      </w:tabs>
      <w:spacing w:before="300" w:after="300"/>
      <w:jc w:val="center"/>
    </w:pPr>
    <w:rPr>
      <w:rFonts w:ascii="Arial" w:eastAsia="黑体" w:hAnsi="Arial"/>
      <w:sz w:val="36"/>
      <w:szCs w:val="36"/>
    </w:rPr>
  </w:style>
  <w:style w:type="paragraph" w:customStyle="1" w:styleId="aff2">
    <w:name w:val="正文（首行不缩进）"/>
    <w:basedOn w:val="a2"/>
    <w:rsid w:val="0048743A"/>
  </w:style>
  <w:style w:type="paragraph" w:customStyle="1" w:styleId="aff3">
    <w:name w:val="注示头"/>
    <w:basedOn w:val="a2"/>
    <w:rsid w:val="0048743A"/>
    <w:pPr>
      <w:pBdr>
        <w:top w:val="single" w:sz="4" w:space="1" w:color="000000"/>
      </w:pBdr>
      <w:jc w:val="both"/>
    </w:pPr>
    <w:rPr>
      <w:rFonts w:ascii="Arial" w:eastAsia="黑体" w:hAnsi="Arial"/>
      <w:sz w:val="18"/>
    </w:rPr>
  </w:style>
  <w:style w:type="paragraph" w:customStyle="1" w:styleId="aff4">
    <w:name w:val="注示文本"/>
    <w:basedOn w:val="a2"/>
    <w:rsid w:val="0048743A"/>
    <w:pPr>
      <w:pBdr>
        <w:bottom w:val="single" w:sz="4" w:space="1" w:color="000000"/>
      </w:pBdr>
      <w:ind w:firstLine="360"/>
      <w:jc w:val="both"/>
    </w:pPr>
    <w:rPr>
      <w:rFonts w:ascii="Arial" w:eastAsia="楷体_GB2312" w:hAnsi="Arial"/>
      <w:sz w:val="18"/>
      <w:szCs w:val="18"/>
    </w:rPr>
  </w:style>
  <w:style w:type="paragraph" w:customStyle="1" w:styleId="aff5">
    <w:name w:val="编写建议"/>
    <w:basedOn w:val="a2"/>
    <w:rsid w:val="0048743A"/>
    <w:pPr>
      <w:ind w:firstLine="420"/>
    </w:pPr>
    <w:rPr>
      <w:rFonts w:ascii="Arial" w:hAnsi="Arial" w:cs="Arial"/>
      <w:i/>
      <w:color w:val="0000FF"/>
    </w:rPr>
  </w:style>
  <w:style w:type="character" w:customStyle="1" w:styleId="aff6">
    <w:name w:val="样式一"/>
    <w:basedOn w:val="a3"/>
    <w:rsid w:val="0048743A"/>
    <w:rPr>
      <w:rFonts w:ascii="宋体" w:hAnsi="宋体"/>
      <w:b/>
      <w:bCs/>
      <w:color w:val="000000"/>
      <w:sz w:val="36"/>
    </w:rPr>
  </w:style>
  <w:style w:type="character" w:customStyle="1" w:styleId="aff7">
    <w:name w:val="样式二"/>
    <w:basedOn w:val="aff6"/>
    <w:rsid w:val="0048743A"/>
    <w:rPr>
      <w:rFonts w:ascii="宋体" w:hAnsi="宋体"/>
      <w:b/>
      <w:bCs/>
      <w:color w:val="000000"/>
      <w:sz w:val="36"/>
    </w:rPr>
  </w:style>
  <w:style w:type="character" w:customStyle="1" w:styleId="Char2">
    <w:name w:val="批注框文本 Char"/>
    <w:basedOn w:val="a3"/>
    <w:link w:val="ac"/>
    <w:rsid w:val="0048743A"/>
    <w:rPr>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276472">
      <w:bodyDiv w:val="1"/>
      <w:marLeft w:val="0"/>
      <w:marRight w:val="0"/>
      <w:marTop w:val="0"/>
      <w:marBottom w:val="0"/>
      <w:divBdr>
        <w:top w:val="none" w:sz="0" w:space="0" w:color="auto"/>
        <w:left w:val="none" w:sz="0" w:space="0" w:color="auto"/>
        <w:bottom w:val="none" w:sz="0" w:space="0" w:color="auto"/>
        <w:right w:val="none" w:sz="0" w:space="0" w:color="auto"/>
      </w:divBdr>
    </w:div>
    <w:div w:id="700977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513B2-4EC2-4230-8613-6E456C6F3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774</Words>
  <Characters>4415</Characters>
  <Application>Microsoft Office Word</Application>
  <DocSecurity>0</DocSecurity>
  <Lines>36</Lines>
  <Paragraphs>10</Paragraphs>
  <ScaleCrop>false</ScaleCrop>
  <Company>Huawei Technologies Co.,Ltd.</Company>
  <LinksUpToDate>false</LinksUpToDate>
  <CharactersWithSpaces>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24</cp:revision>
  <cp:lastPrinted>2016-09-19T12:11:00Z</cp:lastPrinted>
  <dcterms:created xsi:type="dcterms:W3CDTF">2025-08-14T10:54:00Z</dcterms:created>
  <dcterms:modified xsi:type="dcterms:W3CDTF">2025-10-01T14:50:00Z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1758804563</vt:lpwstr>
  </property>
</Properties>
</file>